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CFB1C" w14:textId="77777777" w:rsidR="000F554D" w:rsidRPr="00C8718B" w:rsidRDefault="000F554D" w:rsidP="000F554D">
      <w:pPr>
        <w:spacing w:line="276" w:lineRule="auto"/>
        <w:rPr>
          <w:rFonts w:ascii="Tahoma" w:hAnsi="Tahoma" w:cs="Tahoma"/>
        </w:rPr>
      </w:pPr>
    </w:p>
    <w:p w14:paraId="10F40C5B" w14:textId="11C956D8" w:rsidR="0000272F" w:rsidRPr="007215FD" w:rsidRDefault="0000272F" w:rsidP="00BE6128">
      <w:pPr>
        <w:keepNext/>
        <w:spacing w:after="60" w:line="276" w:lineRule="auto"/>
        <w:rPr>
          <w:rFonts w:ascii="Tahoma" w:hAnsi="Tahoma" w:cs="Tahoma"/>
          <w:b/>
          <w:color w:val="552503"/>
          <w:sz w:val="24"/>
          <w:szCs w:val="24"/>
        </w:rPr>
      </w:pPr>
      <w:r w:rsidRPr="007215FD">
        <w:rPr>
          <w:rFonts w:ascii="Tahoma" w:hAnsi="Tahoma" w:cs="Tahoma"/>
          <w:b/>
          <w:color w:val="552503"/>
          <w:sz w:val="24"/>
          <w:szCs w:val="24"/>
        </w:rPr>
        <w:t>Overview</w:t>
      </w:r>
    </w:p>
    <w:p w14:paraId="206CDE07" w14:textId="3719900A" w:rsidR="0000272F" w:rsidRDefault="00AD2770" w:rsidP="0000272F">
      <w:pPr>
        <w:spacing w:line="276" w:lineRule="auto"/>
        <w:rPr>
          <w:rFonts w:ascii="Tahoma" w:hAnsi="Tahoma" w:cs="Tahoma"/>
        </w:rPr>
      </w:pPr>
      <w:r w:rsidRPr="00AD2770">
        <w:rPr>
          <w:rFonts w:ascii="Tahoma" w:hAnsi="Tahoma" w:cs="Tahoma"/>
        </w:rPr>
        <w:t xml:space="preserve">The Workforce Innovation and Opportunity Act (WIOA) authorizes chief local elected officials (CLEO) to appoint local board members, requires the Governor to certify local boards, and addresses decertification of boards. This policy contains additional State of Oregon requirements, criteria, and clarifications.  </w:t>
      </w:r>
    </w:p>
    <w:p w14:paraId="0F8D7278" w14:textId="741555B6" w:rsidR="0000272F" w:rsidRPr="00C8718B" w:rsidRDefault="0000272F" w:rsidP="0000272F">
      <w:pPr>
        <w:spacing w:line="276" w:lineRule="auto"/>
        <w:rPr>
          <w:rFonts w:ascii="Tahoma" w:hAnsi="Tahoma" w:cs="Tahoma"/>
        </w:rPr>
      </w:pPr>
    </w:p>
    <w:p w14:paraId="6F3D093F" w14:textId="5B4C8485" w:rsidR="0000272F" w:rsidRPr="007215FD" w:rsidRDefault="0000272F" w:rsidP="00BE6128">
      <w:pPr>
        <w:keepNext/>
        <w:spacing w:after="60" w:line="276" w:lineRule="auto"/>
        <w:rPr>
          <w:rFonts w:ascii="Tahoma" w:hAnsi="Tahoma" w:cs="Tahoma"/>
          <w:b/>
          <w:color w:val="552503"/>
          <w:sz w:val="24"/>
          <w:szCs w:val="24"/>
        </w:rPr>
      </w:pPr>
      <w:r w:rsidRPr="007215FD">
        <w:rPr>
          <w:rFonts w:ascii="Tahoma" w:hAnsi="Tahoma" w:cs="Tahoma"/>
          <w:b/>
          <w:color w:val="552503"/>
          <w:sz w:val="24"/>
          <w:szCs w:val="24"/>
        </w:rPr>
        <w:t>Policy Statement</w:t>
      </w:r>
    </w:p>
    <w:p w14:paraId="041396C3" w14:textId="77777777" w:rsidR="00AD2770" w:rsidRDefault="00AD2770" w:rsidP="0000272F">
      <w:pPr>
        <w:spacing w:line="276" w:lineRule="auto"/>
        <w:rPr>
          <w:rFonts w:ascii="Tahoma" w:hAnsi="Tahoma" w:cs="Tahoma"/>
          <w:b/>
          <w:bCs/>
        </w:rPr>
      </w:pPr>
      <w:r w:rsidRPr="00AD2770">
        <w:rPr>
          <w:rFonts w:ascii="Tahoma" w:hAnsi="Tahoma" w:cs="Tahoma"/>
          <w:b/>
          <w:bCs/>
        </w:rPr>
        <w:t xml:space="preserve">Appointment of Board Members and Assignment of Responsibilities </w:t>
      </w:r>
    </w:p>
    <w:p w14:paraId="4585F695" w14:textId="77777777" w:rsidR="00AD2770" w:rsidRPr="00AD2770" w:rsidRDefault="00AD2770" w:rsidP="0000272F">
      <w:pPr>
        <w:spacing w:line="276" w:lineRule="auto"/>
        <w:rPr>
          <w:rFonts w:ascii="Tahoma" w:hAnsi="Tahoma" w:cs="Tahoma"/>
          <w:b/>
          <w:bCs/>
        </w:rPr>
      </w:pPr>
    </w:p>
    <w:p w14:paraId="7B79DAE2" w14:textId="33EF97BC" w:rsidR="0000272F" w:rsidRDefault="00AD2770" w:rsidP="0000272F">
      <w:pPr>
        <w:spacing w:line="276" w:lineRule="auto"/>
        <w:rPr>
          <w:rFonts w:ascii="Tahoma" w:hAnsi="Tahoma" w:cs="Tahoma"/>
        </w:rPr>
      </w:pPr>
      <w:r w:rsidRPr="00AD2770">
        <w:rPr>
          <w:rFonts w:ascii="Tahoma" w:hAnsi="Tahoma" w:cs="Tahoma"/>
        </w:rPr>
        <w:t xml:space="preserve">The chief elected official in a local area is authorized to appoint the members of the local board for such area, in accordance with the criteria established in Oregon’s policy </w:t>
      </w:r>
      <w:r w:rsidRPr="00AD2770">
        <w:rPr>
          <w:rFonts w:ascii="Tahoma" w:hAnsi="Tahoma" w:cs="Tahoma"/>
          <w:i/>
          <w:iCs/>
        </w:rPr>
        <w:t>WIOA 107(b) -</w:t>
      </w:r>
      <w:r w:rsidRPr="00AD2770">
        <w:rPr>
          <w:rFonts w:ascii="Tahoma" w:hAnsi="Tahoma" w:cs="Tahoma"/>
        </w:rPr>
        <w:t xml:space="preserve"> </w:t>
      </w:r>
      <w:r w:rsidRPr="00AD2770">
        <w:rPr>
          <w:rFonts w:ascii="Tahoma" w:hAnsi="Tahoma" w:cs="Tahoma"/>
          <w:i/>
          <w:iCs/>
        </w:rPr>
        <w:t>Local Workforce Development Board Membership</w:t>
      </w:r>
      <w:r w:rsidRPr="00AD2770">
        <w:rPr>
          <w:rFonts w:ascii="Tahoma" w:hAnsi="Tahoma" w:cs="Tahoma"/>
        </w:rPr>
        <w:t xml:space="preserve">.  </w:t>
      </w:r>
    </w:p>
    <w:p w14:paraId="62C08A06" w14:textId="423310DE" w:rsidR="00AD2770" w:rsidRDefault="00AD2770" w:rsidP="00AD2770">
      <w:pPr>
        <w:pStyle w:val="ListParagraph"/>
        <w:numPr>
          <w:ilvl w:val="0"/>
          <w:numId w:val="25"/>
        </w:numPr>
        <w:spacing w:line="276" w:lineRule="auto"/>
        <w:rPr>
          <w:rFonts w:ascii="Tahoma" w:hAnsi="Tahoma" w:cs="Tahoma"/>
        </w:rPr>
      </w:pPr>
      <w:r w:rsidRPr="00AD2770">
        <w:rPr>
          <w:rFonts w:ascii="Tahoma" w:hAnsi="Tahoma" w:cs="Tahoma"/>
        </w:rPr>
        <w:t>When a local area includes more than one (1) unit of general local government, the chief elected officials of such units may execute an agreement that specifies the respective roles of the individual chief elected officials. Such agreements must include:</w:t>
      </w:r>
    </w:p>
    <w:p w14:paraId="237479AE" w14:textId="61BD83E9" w:rsidR="00AD2770" w:rsidRDefault="00AD2770" w:rsidP="00AD2770">
      <w:pPr>
        <w:pStyle w:val="ListParagraph"/>
        <w:numPr>
          <w:ilvl w:val="1"/>
          <w:numId w:val="25"/>
        </w:numPr>
        <w:spacing w:line="276" w:lineRule="auto"/>
        <w:rPr>
          <w:rFonts w:ascii="Tahoma" w:hAnsi="Tahoma" w:cs="Tahoma"/>
        </w:rPr>
      </w:pPr>
      <w:r w:rsidRPr="00AD2770">
        <w:rPr>
          <w:rFonts w:ascii="Tahoma" w:hAnsi="Tahoma" w:cs="Tahoma"/>
        </w:rPr>
        <w:t xml:space="preserve">A description the appointment process for members of the local board from the individuals nominated or recommended to be such members, as described in Oregon’s policy </w:t>
      </w:r>
      <w:r w:rsidRPr="00AD2770">
        <w:rPr>
          <w:rFonts w:ascii="Tahoma" w:hAnsi="Tahoma" w:cs="Tahoma"/>
          <w:i/>
          <w:iCs/>
        </w:rPr>
        <w:t>WIOA 107(b) Local Workforce Development Board Membership</w:t>
      </w:r>
      <w:r w:rsidRPr="00AD2770">
        <w:rPr>
          <w:rFonts w:ascii="Tahoma" w:hAnsi="Tahoma" w:cs="Tahoma"/>
        </w:rPr>
        <w:t>.</w:t>
      </w:r>
    </w:p>
    <w:p w14:paraId="78E900A3" w14:textId="62F10414" w:rsidR="00AD2770" w:rsidRDefault="00AD2770" w:rsidP="00AD2770">
      <w:pPr>
        <w:pStyle w:val="ListParagraph"/>
        <w:numPr>
          <w:ilvl w:val="2"/>
          <w:numId w:val="25"/>
        </w:numPr>
        <w:spacing w:line="276" w:lineRule="auto"/>
        <w:rPr>
          <w:rFonts w:ascii="Tahoma" w:hAnsi="Tahoma" w:cs="Tahoma"/>
        </w:rPr>
      </w:pPr>
      <w:r w:rsidRPr="00AD2770">
        <w:rPr>
          <w:rFonts w:ascii="Tahoma" w:hAnsi="Tahoma" w:cs="Tahoma"/>
          <w:u w:val="single"/>
        </w:rPr>
        <w:t>Lack of Agreement.</w:t>
      </w:r>
      <w:r w:rsidRPr="00AD2770">
        <w:rPr>
          <w:rFonts w:ascii="Tahoma" w:hAnsi="Tahoma" w:cs="Tahoma"/>
        </w:rPr>
        <w:t xml:space="preserve"> If the chief elected officials are unable to reach agreement on the responsibilities and/or process identified above, the Governor may appoint the members of the local board from individuals so nominated or recommended.</w:t>
      </w:r>
    </w:p>
    <w:p w14:paraId="65C2D045" w14:textId="5FB78073" w:rsidR="00AD2770" w:rsidRDefault="00AD2770" w:rsidP="00AD2770">
      <w:pPr>
        <w:pStyle w:val="ListParagraph"/>
        <w:numPr>
          <w:ilvl w:val="3"/>
          <w:numId w:val="25"/>
        </w:numPr>
        <w:spacing w:line="276" w:lineRule="auto"/>
        <w:rPr>
          <w:rFonts w:ascii="Tahoma" w:hAnsi="Tahoma" w:cs="Tahoma"/>
        </w:rPr>
      </w:pPr>
      <w:r w:rsidRPr="00AD2770">
        <w:rPr>
          <w:rFonts w:ascii="Tahoma" w:hAnsi="Tahoma" w:cs="Tahoma"/>
        </w:rPr>
        <w:t>Chief elected officials have sixty (60) days to reach/renew agreement(s) from the point in time in which a new chief elected official is identified/elected.</w:t>
      </w:r>
    </w:p>
    <w:p w14:paraId="11B1874D" w14:textId="6E0959AD" w:rsidR="00AD2770" w:rsidRDefault="00AD2770" w:rsidP="00AD2770">
      <w:pPr>
        <w:pStyle w:val="ListParagraph"/>
        <w:numPr>
          <w:ilvl w:val="1"/>
          <w:numId w:val="25"/>
        </w:numPr>
        <w:spacing w:line="276" w:lineRule="auto"/>
        <w:rPr>
          <w:rFonts w:ascii="Tahoma" w:hAnsi="Tahoma" w:cs="Tahoma"/>
        </w:rPr>
      </w:pPr>
      <w:r w:rsidRPr="00AD2770">
        <w:rPr>
          <w:rFonts w:ascii="Tahoma" w:hAnsi="Tahoma" w:cs="Tahoma"/>
        </w:rPr>
        <w:t>A description of how each chief elected official will carry out any other responsibilities assigned to such officials, according to WIOA or State policy.</w:t>
      </w:r>
    </w:p>
    <w:p w14:paraId="718C888E" w14:textId="77777777" w:rsidR="00AD2770" w:rsidRDefault="00AD2770" w:rsidP="00AD2770">
      <w:pPr>
        <w:spacing w:line="276" w:lineRule="auto"/>
        <w:rPr>
          <w:rFonts w:ascii="Tahoma" w:hAnsi="Tahoma" w:cs="Tahoma"/>
        </w:rPr>
      </w:pPr>
    </w:p>
    <w:p w14:paraId="40FC3C1D" w14:textId="012A293D" w:rsidR="00AD2770" w:rsidRDefault="00AD2770" w:rsidP="00AD2770">
      <w:pPr>
        <w:pStyle w:val="ListParagraph"/>
        <w:numPr>
          <w:ilvl w:val="0"/>
          <w:numId w:val="26"/>
        </w:numPr>
        <w:spacing w:line="276" w:lineRule="auto"/>
        <w:rPr>
          <w:rFonts w:ascii="Tahoma" w:hAnsi="Tahoma" w:cs="Tahoma"/>
        </w:rPr>
      </w:pPr>
      <w:r w:rsidRPr="00AD2770">
        <w:rPr>
          <w:rFonts w:ascii="Tahoma" w:hAnsi="Tahoma" w:cs="Tahoma"/>
        </w:rPr>
        <w:t>Current copies of such agreements must be submitted as part of the Local Workforce Development Board Certification Request process (see below).</w:t>
      </w:r>
    </w:p>
    <w:p w14:paraId="4F2A243C" w14:textId="77777777" w:rsidR="00AD2770" w:rsidRDefault="00AD2770" w:rsidP="00AD2770">
      <w:pPr>
        <w:spacing w:line="276" w:lineRule="auto"/>
        <w:rPr>
          <w:rFonts w:ascii="Tahoma" w:hAnsi="Tahoma" w:cs="Tahoma"/>
        </w:rPr>
      </w:pPr>
    </w:p>
    <w:p w14:paraId="6C5B014D" w14:textId="77777777" w:rsidR="00AD2770" w:rsidRPr="00AD2770" w:rsidRDefault="00AD2770" w:rsidP="00AD2770">
      <w:pPr>
        <w:spacing w:line="276" w:lineRule="auto"/>
        <w:rPr>
          <w:rFonts w:ascii="Tahoma" w:hAnsi="Tahoma" w:cs="Tahoma"/>
          <w:b/>
          <w:bCs/>
        </w:rPr>
      </w:pPr>
      <w:r w:rsidRPr="00AD2770">
        <w:rPr>
          <w:rFonts w:ascii="Tahoma" w:hAnsi="Tahoma" w:cs="Tahoma"/>
          <w:b/>
          <w:bCs/>
        </w:rPr>
        <w:t xml:space="preserve">Certification of Local Workforce Development Boards </w:t>
      </w:r>
    </w:p>
    <w:p w14:paraId="15942A2C" w14:textId="77777777" w:rsidR="00AD2770" w:rsidRDefault="00AD2770" w:rsidP="00AD2770">
      <w:pPr>
        <w:spacing w:line="276" w:lineRule="auto"/>
        <w:rPr>
          <w:rFonts w:ascii="Tahoma" w:hAnsi="Tahoma" w:cs="Tahoma"/>
        </w:rPr>
      </w:pPr>
    </w:p>
    <w:p w14:paraId="1E98D632" w14:textId="05AD81D8" w:rsidR="00AD2770" w:rsidRPr="00AD2770" w:rsidRDefault="00AD2770" w:rsidP="00AD2770">
      <w:pPr>
        <w:spacing w:line="276" w:lineRule="auto"/>
        <w:rPr>
          <w:rFonts w:ascii="Tahoma" w:hAnsi="Tahoma" w:cs="Tahoma"/>
        </w:rPr>
      </w:pPr>
      <w:r w:rsidRPr="00AD2770">
        <w:rPr>
          <w:rFonts w:ascii="Tahoma" w:hAnsi="Tahoma" w:cs="Tahoma"/>
        </w:rPr>
        <w:t xml:space="preserve">The Governor shall, once every two (2) years, certify one (1) local board for each local area in the State.  </w:t>
      </w:r>
    </w:p>
    <w:p w14:paraId="4A87B2EE" w14:textId="77777777" w:rsidR="002107BB" w:rsidRDefault="002107BB" w:rsidP="0000272F">
      <w:pPr>
        <w:spacing w:line="276" w:lineRule="auto"/>
        <w:rPr>
          <w:rFonts w:ascii="Tahoma" w:hAnsi="Tahoma" w:cs="Tahoma"/>
        </w:rPr>
      </w:pPr>
    </w:p>
    <w:p w14:paraId="57F9F448" w14:textId="77777777" w:rsidR="00AD2770" w:rsidRDefault="00AD2770" w:rsidP="0000272F">
      <w:pPr>
        <w:spacing w:line="276" w:lineRule="auto"/>
        <w:rPr>
          <w:rFonts w:ascii="Tahoma" w:hAnsi="Tahoma" w:cs="Tahoma"/>
        </w:rPr>
      </w:pPr>
      <w:r w:rsidRPr="00AD2770">
        <w:rPr>
          <w:rFonts w:ascii="Tahoma" w:hAnsi="Tahoma" w:cs="Tahoma"/>
        </w:rPr>
        <w:t xml:space="preserve">Initial Certification Boards requesting initial certification must:  </w:t>
      </w:r>
    </w:p>
    <w:p w14:paraId="20371297" w14:textId="54B60A6F" w:rsidR="00AD2770" w:rsidRPr="00AD2770" w:rsidRDefault="00AD2770" w:rsidP="00AD2770">
      <w:pPr>
        <w:pStyle w:val="ListParagraph"/>
        <w:numPr>
          <w:ilvl w:val="0"/>
          <w:numId w:val="26"/>
        </w:numPr>
        <w:spacing w:line="276" w:lineRule="auto"/>
        <w:rPr>
          <w:rFonts w:ascii="Tahoma" w:hAnsi="Tahoma" w:cs="Tahoma"/>
        </w:rPr>
      </w:pPr>
      <w:r w:rsidRPr="00AD2770">
        <w:rPr>
          <w:rFonts w:ascii="Tahoma" w:hAnsi="Tahoma" w:cs="Tahoma"/>
        </w:rPr>
        <w:t xml:space="preserve">Comply with the Local Workforce Development Board Certification Request process (see Attachment B). </w:t>
      </w:r>
    </w:p>
    <w:p w14:paraId="7A2C276E" w14:textId="36C57D4C" w:rsidR="00AD2770" w:rsidRPr="00AD2770" w:rsidRDefault="00AD2770" w:rsidP="00AD2770">
      <w:pPr>
        <w:pStyle w:val="ListParagraph"/>
        <w:numPr>
          <w:ilvl w:val="0"/>
          <w:numId w:val="26"/>
        </w:numPr>
        <w:spacing w:line="276" w:lineRule="auto"/>
        <w:rPr>
          <w:rFonts w:ascii="Tahoma" w:hAnsi="Tahoma" w:cs="Tahoma"/>
        </w:rPr>
      </w:pPr>
      <w:r w:rsidRPr="00AD2770">
        <w:rPr>
          <w:rFonts w:ascii="Tahoma" w:hAnsi="Tahoma" w:cs="Tahoma"/>
        </w:rPr>
        <w:t xml:space="preserve">Comply with the requirements contained in Oregon’s policy </w:t>
      </w:r>
      <w:r w:rsidRPr="00AD2770">
        <w:rPr>
          <w:rFonts w:ascii="Tahoma" w:hAnsi="Tahoma" w:cs="Tahoma"/>
          <w:i/>
          <w:iCs/>
        </w:rPr>
        <w:t>WIOA 107(b) - Local Workforce Development Board Membership</w:t>
      </w:r>
    </w:p>
    <w:p w14:paraId="7958B4A5" w14:textId="77777777" w:rsidR="00AD2770" w:rsidRDefault="00AD2770" w:rsidP="0000272F">
      <w:pPr>
        <w:spacing w:line="276" w:lineRule="auto"/>
        <w:rPr>
          <w:rFonts w:ascii="Tahoma" w:hAnsi="Tahoma" w:cs="Tahoma"/>
        </w:rPr>
      </w:pPr>
    </w:p>
    <w:p w14:paraId="12A253E0" w14:textId="0315E0AB" w:rsidR="00AD2770" w:rsidRPr="00AD2770" w:rsidRDefault="00AD2770" w:rsidP="0000272F">
      <w:pPr>
        <w:spacing w:line="276" w:lineRule="auto"/>
        <w:rPr>
          <w:rFonts w:ascii="Tahoma" w:hAnsi="Tahoma" w:cs="Tahoma"/>
          <w:u w:val="single"/>
        </w:rPr>
      </w:pPr>
      <w:r w:rsidRPr="00AD2770">
        <w:rPr>
          <w:rFonts w:ascii="Tahoma" w:hAnsi="Tahoma" w:cs="Tahoma"/>
          <w:u w:val="single"/>
        </w:rPr>
        <w:t>Subsequent Certificatio</w:t>
      </w:r>
      <w:r w:rsidRPr="00AD2770">
        <w:rPr>
          <w:rFonts w:ascii="Tahoma" w:hAnsi="Tahoma" w:cs="Tahoma"/>
          <w:u w:val="single"/>
        </w:rPr>
        <w:t>n</w:t>
      </w:r>
      <w:r w:rsidRPr="00AD2770">
        <w:rPr>
          <w:rFonts w:ascii="Tahoma" w:hAnsi="Tahoma" w:cs="Tahoma"/>
          <w:u w:val="single"/>
        </w:rPr>
        <w:t xml:space="preserve"> </w:t>
      </w:r>
    </w:p>
    <w:p w14:paraId="276A2D7A" w14:textId="09516528" w:rsidR="00AD2770" w:rsidRDefault="00AD2770" w:rsidP="0000272F">
      <w:pPr>
        <w:spacing w:line="276" w:lineRule="auto"/>
        <w:rPr>
          <w:rFonts w:ascii="Tahoma" w:hAnsi="Tahoma" w:cs="Tahoma"/>
        </w:rPr>
      </w:pPr>
      <w:r w:rsidRPr="00AD2770">
        <w:rPr>
          <w:rFonts w:ascii="Tahoma" w:hAnsi="Tahoma" w:cs="Tahoma"/>
        </w:rPr>
        <w:t xml:space="preserve">Boards requesting a second or subsequent certification must:  </w:t>
      </w:r>
    </w:p>
    <w:p w14:paraId="798C6D86" w14:textId="6F763D07" w:rsidR="00AD2770" w:rsidRPr="00AD2770" w:rsidRDefault="00AD2770" w:rsidP="00AD2770">
      <w:pPr>
        <w:pStyle w:val="ListParagraph"/>
        <w:numPr>
          <w:ilvl w:val="0"/>
          <w:numId w:val="27"/>
        </w:numPr>
        <w:spacing w:line="276" w:lineRule="auto"/>
        <w:rPr>
          <w:rFonts w:ascii="Tahoma" w:hAnsi="Tahoma" w:cs="Tahoma"/>
        </w:rPr>
      </w:pPr>
      <w:r w:rsidRPr="00AD2770">
        <w:rPr>
          <w:rFonts w:ascii="Tahoma" w:hAnsi="Tahoma" w:cs="Tahoma"/>
        </w:rPr>
        <w:lastRenderedPageBreak/>
        <w:t xml:space="preserve">Comply with the Local Workforce Development Board Certification Request process (see Attachment B). </w:t>
      </w:r>
    </w:p>
    <w:p w14:paraId="7C9D8A14" w14:textId="55C57F53" w:rsidR="0000272F" w:rsidRDefault="00AD2770" w:rsidP="00AD2770">
      <w:pPr>
        <w:pStyle w:val="ListParagraph"/>
        <w:numPr>
          <w:ilvl w:val="0"/>
          <w:numId w:val="27"/>
        </w:numPr>
        <w:spacing w:line="276" w:lineRule="auto"/>
        <w:rPr>
          <w:rFonts w:ascii="Tahoma" w:hAnsi="Tahoma" w:cs="Tahoma"/>
        </w:rPr>
      </w:pPr>
      <w:r w:rsidRPr="00AD2770">
        <w:rPr>
          <w:rFonts w:ascii="Tahoma" w:hAnsi="Tahoma" w:cs="Tahoma"/>
        </w:rPr>
        <w:t>Comply with the requirements contained in Oregon’s policy WIOA 107(b) - Local Workforce Development Board Membership.</w:t>
      </w:r>
    </w:p>
    <w:p w14:paraId="1CC6F58B" w14:textId="5833481E" w:rsidR="00AD2770" w:rsidRDefault="00AD2770" w:rsidP="00AD2770">
      <w:pPr>
        <w:pStyle w:val="ListParagraph"/>
        <w:numPr>
          <w:ilvl w:val="0"/>
          <w:numId w:val="27"/>
        </w:numPr>
        <w:spacing w:line="276" w:lineRule="auto"/>
        <w:rPr>
          <w:rFonts w:ascii="Tahoma" w:hAnsi="Tahoma" w:cs="Tahoma"/>
        </w:rPr>
      </w:pPr>
      <w:r w:rsidRPr="00AD2770">
        <w:rPr>
          <w:rFonts w:ascii="Tahoma" w:hAnsi="Tahoma" w:cs="Tahoma"/>
        </w:rPr>
        <w:t>Additionally, subsequent certification will be based upon the extent to which the local board has ensured that workforce investment activities carried out in the local area have enabled the local area to meet the corresponding performance accountability measures and achieve sustained fiscal integrity, as defined in WIOA section 106(e)(2</w:t>
      </w:r>
      <w:r>
        <w:rPr>
          <w:rFonts w:ascii="Tahoma" w:hAnsi="Tahoma" w:cs="Tahoma"/>
        </w:rPr>
        <w:t>).</w:t>
      </w:r>
    </w:p>
    <w:p w14:paraId="5904F901" w14:textId="77777777" w:rsidR="00AD2770" w:rsidRDefault="00AD2770" w:rsidP="00AD2770">
      <w:pPr>
        <w:pStyle w:val="ListParagraph"/>
        <w:spacing w:line="276" w:lineRule="auto"/>
        <w:rPr>
          <w:rFonts w:ascii="Tahoma" w:hAnsi="Tahoma" w:cs="Tahoma"/>
        </w:rPr>
      </w:pPr>
    </w:p>
    <w:p w14:paraId="341442DE" w14:textId="77777777" w:rsidR="00AD2770" w:rsidRPr="00AD2770" w:rsidRDefault="00AD2770" w:rsidP="00AD2770">
      <w:pPr>
        <w:spacing w:line="276" w:lineRule="auto"/>
        <w:rPr>
          <w:rFonts w:ascii="Tahoma" w:hAnsi="Tahoma" w:cs="Tahoma"/>
          <w:u w:val="single"/>
        </w:rPr>
      </w:pPr>
      <w:r w:rsidRPr="00AD2770">
        <w:rPr>
          <w:rFonts w:ascii="Tahoma" w:hAnsi="Tahoma" w:cs="Tahoma"/>
          <w:u w:val="single"/>
        </w:rPr>
        <w:t xml:space="preserve">Failure to Achieve Certification </w:t>
      </w:r>
    </w:p>
    <w:p w14:paraId="56EEEFF8" w14:textId="2ED17222" w:rsidR="00AD2770" w:rsidRDefault="00AD2770" w:rsidP="00AD2770">
      <w:pPr>
        <w:spacing w:line="276" w:lineRule="auto"/>
        <w:rPr>
          <w:rFonts w:ascii="Tahoma" w:hAnsi="Tahoma" w:cs="Tahoma"/>
        </w:rPr>
      </w:pPr>
      <w:r w:rsidRPr="00AD2770">
        <w:rPr>
          <w:rFonts w:ascii="Tahoma" w:hAnsi="Tahoma" w:cs="Tahoma"/>
        </w:rPr>
        <w:t>Failure of a local board to achieve certification shall result in appointment and certification of a new local board for the local area pursuant to the process described above and in this paragraph.</w:t>
      </w:r>
    </w:p>
    <w:p w14:paraId="66784D4D" w14:textId="77777777" w:rsidR="00AD2770" w:rsidRDefault="00AD2770" w:rsidP="00AD2770">
      <w:pPr>
        <w:spacing w:line="276" w:lineRule="auto"/>
        <w:rPr>
          <w:rFonts w:ascii="Tahoma" w:hAnsi="Tahoma" w:cs="Tahoma"/>
        </w:rPr>
      </w:pPr>
    </w:p>
    <w:p w14:paraId="0ECC19DD" w14:textId="77777777" w:rsidR="00AD2770" w:rsidRPr="00AD2770" w:rsidRDefault="00AD2770" w:rsidP="00AD2770">
      <w:pPr>
        <w:spacing w:line="276" w:lineRule="auto"/>
        <w:rPr>
          <w:rFonts w:ascii="Tahoma" w:hAnsi="Tahoma" w:cs="Tahoma"/>
          <w:u w:val="single"/>
        </w:rPr>
      </w:pPr>
      <w:r w:rsidRPr="00AD2770">
        <w:rPr>
          <w:rFonts w:ascii="Tahoma" w:hAnsi="Tahoma" w:cs="Tahoma"/>
          <w:u w:val="single"/>
        </w:rPr>
        <w:t xml:space="preserve">Decertification </w:t>
      </w:r>
    </w:p>
    <w:p w14:paraId="39F44ABF" w14:textId="77777777" w:rsidR="00AD2770" w:rsidRDefault="00AD2770" w:rsidP="00AD2770">
      <w:pPr>
        <w:spacing w:line="276" w:lineRule="auto"/>
        <w:rPr>
          <w:rFonts w:ascii="Tahoma" w:hAnsi="Tahoma" w:cs="Tahoma"/>
        </w:rPr>
      </w:pPr>
      <w:r w:rsidRPr="00AD2770">
        <w:rPr>
          <w:rFonts w:ascii="Tahoma" w:hAnsi="Tahoma" w:cs="Tahoma"/>
        </w:rPr>
        <w:t xml:space="preserve">The Governor may decertify a local board at any time after providing notice and an opportunity for comment, for: </w:t>
      </w:r>
    </w:p>
    <w:p w14:paraId="3352E8D2" w14:textId="4C99E3EA" w:rsidR="00AD2770" w:rsidRPr="00AD2770" w:rsidRDefault="00AD2770" w:rsidP="00AD2770">
      <w:pPr>
        <w:pStyle w:val="ListParagraph"/>
        <w:numPr>
          <w:ilvl w:val="0"/>
          <w:numId w:val="28"/>
        </w:numPr>
        <w:spacing w:line="276" w:lineRule="auto"/>
        <w:rPr>
          <w:rFonts w:ascii="Tahoma" w:hAnsi="Tahoma" w:cs="Tahoma"/>
        </w:rPr>
      </w:pPr>
      <w:r w:rsidRPr="00AD2770">
        <w:rPr>
          <w:rFonts w:ascii="Tahoma" w:hAnsi="Tahoma" w:cs="Tahoma"/>
        </w:rPr>
        <w:t xml:space="preserve">Fraud or abuse  </w:t>
      </w:r>
    </w:p>
    <w:p w14:paraId="254AD199" w14:textId="34BECA65" w:rsidR="00AD2770" w:rsidRPr="00AD2770" w:rsidRDefault="00AD2770" w:rsidP="00AD2770">
      <w:pPr>
        <w:pStyle w:val="ListParagraph"/>
        <w:numPr>
          <w:ilvl w:val="0"/>
          <w:numId w:val="28"/>
        </w:numPr>
        <w:spacing w:line="276" w:lineRule="auto"/>
        <w:rPr>
          <w:rFonts w:ascii="Tahoma" w:hAnsi="Tahoma" w:cs="Tahoma"/>
        </w:rPr>
      </w:pPr>
      <w:r w:rsidRPr="00AD2770">
        <w:rPr>
          <w:rFonts w:ascii="Tahoma" w:hAnsi="Tahoma" w:cs="Tahoma"/>
        </w:rPr>
        <w:t xml:space="preserve">Failure to carry out the functions specified for the local board in described in WIOA section 107(d) and related State policy. </w:t>
      </w:r>
    </w:p>
    <w:p w14:paraId="4C4EEEFB" w14:textId="16A538F4" w:rsidR="00AD2770" w:rsidRDefault="00AD2770" w:rsidP="00AD2770">
      <w:pPr>
        <w:pStyle w:val="ListParagraph"/>
        <w:numPr>
          <w:ilvl w:val="0"/>
          <w:numId w:val="28"/>
        </w:numPr>
        <w:spacing w:line="276" w:lineRule="auto"/>
        <w:rPr>
          <w:rFonts w:ascii="Tahoma" w:hAnsi="Tahoma" w:cs="Tahoma"/>
        </w:rPr>
      </w:pPr>
      <w:r w:rsidRPr="00AD2770">
        <w:rPr>
          <w:rFonts w:ascii="Tahoma" w:hAnsi="Tahoma" w:cs="Tahoma"/>
        </w:rPr>
        <w:t>Nonperformance. [If a local area fails to meet the local performance accountability measures for such local area in accordance with WIOA section 116(c) for 2 consecutive program years.]</w:t>
      </w:r>
    </w:p>
    <w:p w14:paraId="5570A475" w14:textId="77777777" w:rsidR="00AD2770" w:rsidRDefault="00AD2770" w:rsidP="00AD2770">
      <w:pPr>
        <w:spacing w:line="276" w:lineRule="auto"/>
        <w:rPr>
          <w:rFonts w:ascii="Tahoma" w:hAnsi="Tahoma" w:cs="Tahoma"/>
        </w:rPr>
      </w:pPr>
    </w:p>
    <w:p w14:paraId="269DBAB7" w14:textId="77777777" w:rsidR="00AD2770" w:rsidRPr="00AD2770" w:rsidRDefault="00AD2770" w:rsidP="00AD2770">
      <w:pPr>
        <w:spacing w:line="276" w:lineRule="auto"/>
        <w:rPr>
          <w:rFonts w:ascii="Tahoma" w:hAnsi="Tahoma" w:cs="Tahoma"/>
          <w:u w:val="single"/>
        </w:rPr>
      </w:pPr>
      <w:r w:rsidRPr="00AD2770">
        <w:rPr>
          <w:rFonts w:ascii="Tahoma" w:hAnsi="Tahoma" w:cs="Tahoma"/>
          <w:u w:val="single"/>
        </w:rPr>
        <w:t>Reorganization Plan</w:t>
      </w:r>
    </w:p>
    <w:p w14:paraId="2BB781A0" w14:textId="7B487AD8" w:rsidR="00AD2770" w:rsidRPr="00AD2770" w:rsidRDefault="00AD2770" w:rsidP="00AD2770">
      <w:pPr>
        <w:spacing w:line="276" w:lineRule="auto"/>
        <w:rPr>
          <w:rFonts w:ascii="Tahoma" w:hAnsi="Tahoma" w:cs="Tahoma"/>
        </w:rPr>
      </w:pPr>
      <w:r w:rsidRPr="00AD2770">
        <w:rPr>
          <w:rFonts w:ascii="Tahoma" w:hAnsi="Tahoma" w:cs="Tahoma"/>
        </w:rPr>
        <w:t xml:space="preserve">If the Governor decertifies a local board for a local area, the Governor may require that a new local board be appointed and certified for the local area pursuant to a reorganization plan developed by the Governor, in consultation with the chief elected official in the local area and in accordance with the criteria established under WIOA section 107(b) and this </w:t>
      </w:r>
      <w:proofErr w:type="gramStart"/>
      <w:r w:rsidRPr="00AD2770">
        <w:rPr>
          <w:rFonts w:ascii="Tahoma" w:hAnsi="Tahoma" w:cs="Tahoma"/>
        </w:rPr>
        <w:t>policy</w:t>
      </w:r>
      <w:proofErr w:type="gramEnd"/>
    </w:p>
    <w:p w14:paraId="4BB0E30B" w14:textId="77777777" w:rsidR="00AD2770" w:rsidRDefault="00AD2770" w:rsidP="00AD2770">
      <w:pPr>
        <w:spacing w:line="276" w:lineRule="auto"/>
        <w:rPr>
          <w:rFonts w:ascii="Tahoma" w:hAnsi="Tahoma" w:cs="Tahoma"/>
        </w:rPr>
      </w:pPr>
    </w:p>
    <w:p w14:paraId="347D6C63" w14:textId="77777777" w:rsidR="00AD2770" w:rsidRPr="00AD2770" w:rsidRDefault="00AD2770" w:rsidP="00AD2770">
      <w:pPr>
        <w:spacing w:line="276" w:lineRule="auto"/>
        <w:rPr>
          <w:rFonts w:ascii="Tahoma" w:hAnsi="Tahoma" w:cs="Tahoma"/>
        </w:rPr>
      </w:pPr>
    </w:p>
    <w:p w14:paraId="6AC08601" w14:textId="787B8AB2" w:rsidR="002107BB" w:rsidRPr="007215FD" w:rsidRDefault="002107BB" w:rsidP="00BE6128">
      <w:pPr>
        <w:keepNext/>
        <w:spacing w:after="60" w:line="276" w:lineRule="auto"/>
        <w:rPr>
          <w:rFonts w:ascii="Tahoma" w:hAnsi="Tahoma" w:cs="Tahoma"/>
          <w:b/>
          <w:color w:val="552503"/>
          <w:sz w:val="24"/>
          <w:szCs w:val="24"/>
        </w:rPr>
      </w:pPr>
      <w:r w:rsidRPr="007215FD">
        <w:rPr>
          <w:rFonts w:ascii="Tahoma" w:hAnsi="Tahoma" w:cs="Tahoma"/>
          <w:b/>
          <w:color w:val="552503"/>
          <w:sz w:val="24"/>
          <w:szCs w:val="24"/>
        </w:rPr>
        <w:t>Effective Date</w:t>
      </w:r>
    </w:p>
    <w:p w14:paraId="41F43FEE" w14:textId="70423EB8" w:rsidR="002107BB" w:rsidRPr="002107BB" w:rsidRDefault="00AD2770" w:rsidP="0000272F">
      <w:pPr>
        <w:spacing w:line="276" w:lineRule="auto"/>
        <w:rPr>
          <w:rFonts w:ascii="Tahoma" w:hAnsi="Tahoma" w:cs="Tahoma"/>
        </w:rPr>
      </w:pPr>
      <w:r w:rsidRPr="00AD2770">
        <w:rPr>
          <w:rFonts w:ascii="Tahoma" w:hAnsi="Tahoma" w:cs="Tahoma"/>
        </w:rPr>
        <w:t>2/18/2016</w:t>
      </w:r>
    </w:p>
    <w:p w14:paraId="69F19620" w14:textId="77777777" w:rsidR="002107BB" w:rsidRPr="002107BB" w:rsidRDefault="002107BB" w:rsidP="0000272F">
      <w:pPr>
        <w:spacing w:line="276" w:lineRule="auto"/>
        <w:rPr>
          <w:rFonts w:ascii="Tahoma" w:hAnsi="Tahoma" w:cs="Tahoma"/>
        </w:rPr>
      </w:pPr>
    </w:p>
    <w:p w14:paraId="505DF7CD" w14:textId="7407CA87" w:rsidR="00CA6F4E" w:rsidRPr="007215FD" w:rsidRDefault="00CA6F4E" w:rsidP="00BE6128">
      <w:pPr>
        <w:keepNext/>
        <w:spacing w:after="60" w:line="276" w:lineRule="auto"/>
        <w:rPr>
          <w:rFonts w:ascii="Tahoma" w:hAnsi="Tahoma" w:cs="Tahoma"/>
          <w:b/>
          <w:color w:val="552503"/>
          <w:sz w:val="24"/>
          <w:szCs w:val="24"/>
        </w:rPr>
      </w:pPr>
      <w:r w:rsidRPr="007215FD">
        <w:rPr>
          <w:rFonts w:ascii="Tahoma" w:hAnsi="Tahoma" w:cs="Tahoma"/>
          <w:b/>
          <w:color w:val="552503"/>
          <w:sz w:val="24"/>
          <w:szCs w:val="24"/>
        </w:rPr>
        <w:t>Required Action</w:t>
      </w:r>
    </w:p>
    <w:p w14:paraId="7F60979A" w14:textId="182990F2" w:rsidR="0000272F" w:rsidRPr="00C8718B" w:rsidRDefault="00AD2770" w:rsidP="0000272F">
      <w:pPr>
        <w:spacing w:line="276" w:lineRule="auto"/>
        <w:rPr>
          <w:rFonts w:ascii="Tahoma" w:hAnsi="Tahoma" w:cs="Tahoma"/>
        </w:rPr>
      </w:pPr>
      <w:r w:rsidRPr="00AD2770">
        <w:rPr>
          <w:rFonts w:ascii="Tahoma" w:hAnsi="Tahoma" w:cs="Tahoma"/>
        </w:rPr>
        <w:t xml:space="preserve">Local boards should develop additional policies and procedures, as appropriate, to comply with the above requirements and related issues (examples may </w:t>
      </w:r>
      <w:proofErr w:type="gramStart"/>
      <w:r w:rsidRPr="00AD2770">
        <w:rPr>
          <w:rFonts w:ascii="Tahoma" w:hAnsi="Tahoma" w:cs="Tahoma"/>
        </w:rPr>
        <w:t>include:</w:t>
      </w:r>
      <w:proofErr w:type="gramEnd"/>
      <w:r w:rsidRPr="00AD2770">
        <w:rPr>
          <w:rFonts w:ascii="Tahoma" w:hAnsi="Tahoma" w:cs="Tahoma"/>
        </w:rPr>
        <w:t xml:space="preserve"> documenting appointment criteria/processes, timelines for agreements between chief elected officials, etc.). All local policies and procedures must comply with state and federal guidelines, and may add additional criteria, requirements, limitations, etc.</w:t>
      </w:r>
    </w:p>
    <w:p w14:paraId="4B18D1C4" w14:textId="123418C8" w:rsidR="0000272F" w:rsidRPr="00C8718B" w:rsidRDefault="0000272F" w:rsidP="0000272F">
      <w:pPr>
        <w:spacing w:line="276" w:lineRule="auto"/>
        <w:rPr>
          <w:rFonts w:ascii="Tahoma" w:hAnsi="Tahoma" w:cs="Tahoma"/>
        </w:rPr>
      </w:pPr>
    </w:p>
    <w:p w14:paraId="73A77C8E" w14:textId="2E122160" w:rsidR="0000272F" w:rsidRPr="007215FD" w:rsidRDefault="0000272F" w:rsidP="00BE6128">
      <w:pPr>
        <w:keepNext/>
        <w:spacing w:after="60" w:line="276" w:lineRule="auto"/>
        <w:rPr>
          <w:rFonts w:ascii="Tahoma" w:hAnsi="Tahoma" w:cs="Tahoma"/>
          <w:b/>
          <w:color w:val="552503"/>
          <w:sz w:val="24"/>
          <w:szCs w:val="24"/>
        </w:rPr>
      </w:pPr>
      <w:r w:rsidRPr="007215FD">
        <w:rPr>
          <w:rFonts w:ascii="Tahoma" w:hAnsi="Tahoma" w:cs="Tahoma"/>
          <w:b/>
          <w:color w:val="552503"/>
          <w:sz w:val="24"/>
          <w:szCs w:val="24"/>
        </w:rPr>
        <w:t>Contact</w:t>
      </w:r>
    </w:p>
    <w:p w14:paraId="24D59BC2" w14:textId="10995C40" w:rsidR="007604D0" w:rsidRPr="00972661" w:rsidRDefault="007604D0" w:rsidP="007604D0">
      <w:pPr>
        <w:spacing w:line="276" w:lineRule="auto"/>
        <w:rPr>
          <w:rFonts w:ascii="Tahoma" w:hAnsi="Tahoma" w:cs="Tahoma"/>
        </w:rPr>
      </w:pPr>
      <w:bookmarkStart w:id="0" w:name="_Hlk140153010"/>
      <w:r w:rsidRPr="00C935F6">
        <w:rPr>
          <w:rFonts w:ascii="Tahoma" w:hAnsi="Tahoma" w:cs="Tahoma"/>
        </w:rPr>
        <w:t xml:space="preserve">Questions are to be referred to </w:t>
      </w:r>
      <w:hyperlink r:id="rId10" w:history="1">
        <w:r w:rsidR="00972661" w:rsidRPr="00972661">
          <w:rPr>
            <w:rStyle w:val="Hyperlink"/>
            <w:rFonts w:ascii="Tahoma" w:hAnsi="Tahoma" w:cs="Tahoma"/>
          </w:rPr>
          <w:t>WTDBPolicy@hecc.oregon.gov</w:t>
        </w:r>
      </w:hyperlink>
      <w:r w:rsidR="00972661">
        <w:rPr>
          <w:rFonts w:ascii="Tahoma" w:hAnsi="Tahoma" w:cs="Tahoma"/>
        </w:rPr>
        <w:t>.</w:t>
      </w:r>
      <w:bookmarkEnd w:id="0"/>
    </w:p>
    <w:p w14:paraId="06381DEE" w14:textId="31E0E271" w:rsidR="0000272F" w:rsidRPr="00C8718B" w:rsidRDefault="0000272F" w:rsidP="0000272F">
      <w:pPr>
        <w:spacing w:line="276" w:lineRule="auto"/>
        <w:rPr>
          <w:rFonts w:ascii="Tahoma" w:hAnsi="Tahoma" w:cs="Tahoma"/>
        </w:rPr>
      </w:pPr>
    </w:p>
    <w:p w14:paraId="1B5BDE9F" w14:textId="2E783DDF" w:rsidR="0000272F" w:rsidRPr="00C8718B" w:rsidRDefault="0000272F" w:rsidP="0000272F">
      <w:pPr>
        <w:spacing w:line="276" w:lineRule="auto"/>
        <w:rPr>
          <w:rFonts w:ascii="Tahoma" w:hAnsi="Tahoma" w:cs="Tahoma"/>
        </w:rPr>
      </w:pPr>
    </w:p>
    <w:p w14:paraId="55EA721F" w14:textId="1E28EE7F" w:rsidR="0000272F" w:rsidRPr="00C8718B" w:rsidRDefault="0000272F" w:rsidP="0000272F">
      <w:pPr>
        <w:spacing w:line="276" w:lineRule="auto"/>
        <w:rPr>
          <w:rFonts w:ascii="Tahoma" w:hAnsi="Tahoma" w:cs="Tahoma"/>
        </w:rPr>
      </w:pPr>
    </w:p>
    <w:p w14:paraId="235252CF" w14:textId="283F8C6B" w:rsidR="0000272F" w:rsidRPr="00C8718B" w:rsidRDefault="0000272F" w:rsidP="0000272F">
      <w:pPr>
        <w:spacing w:line="276" w:lineRule="auto"/>
        <w:rPr>
          <w:rFonts w:ascii="Tahoma" w:hAnsi="Tahoma" w:cs="Tahoma"/>
        </w:rPr>
      </w:pPr>
    </w:p>
    <w:p w14:paraId="28FAA7B5" w14:textId="136FF06F" w:rsidR="0000272F" w:rsidRPr="007215FD" w:rsidRDefault="0000272F" w:rsidP="00BE6128">
      <w:pPr>
        <w:keepNext/>
        <w:spacing w:after="60" w:line="276" w:lineRule="auto"/>
        <w:rPr>
          <w:rFonts w:ascii="Tahoma" w:hAnsi="Tahoma" w:cs="Tahoma"/>
          <w:b/>
          <w:color w:val="552503"/>
          <w:sz w:val="24"/>
          <w:szCs w:val="24"/>
        </w:rPr>
      </w:pPr>
      <w:r w:rsidRPr="007215FD">
        <w:rPr>
          <w:rFonts w:ascii="Tahoma" w:hAnsi="Tahoma" w:cs="Tahoma"/>
          <w:b/>
          <w:color w:val="552503"/>
          <w:sz w:val="24"/>
          <w:szCs w:val="24"/>
        </w:rPr>
        <w:lastRenderedPageBreak/>
        <w:t>Attachments</w:t>
      </w:r>
    </w:p>
    <w:p w14:paraId="5FF528D6" w14:textId="77777777" w:rsidR="00AD2770" w:rsidRPr="00AD2770" w:rsidRDefault="00AD2770" w:rsidP="00AD2770">
      <w:pPr>
        <w:pStyle w:val="ListParagraph"/>
        <w:numPr>
          <w:ilvl w:val="0"/>
          <w:numId w:val="29"/>
        </w:numPr>
        <w:spacing w:line="276" w:lineRule="auto"/>
        <w:rPr>
          <w:rFonts w:ascii="Tahoma" w:hAnsi="Tahoma" w:cs="Tahoma"/>
        </w:rPr>
      </w:pPr>
      <w:r w:rsidRPr="00AD2770">
        <w:rPr>
          <w:rFonts w:ascii="Tahoma" w:hAnsi="Tahoma" w:cs="Tahoma"/>
        </w:rPr>
        <w:t xml:space="preserve">Attachment A – Local Workforce Development Board Certification Request Letter (template) </w:t>
      </w:r>
    </w:p>
    <w:p w14:paraId="53D0C77F" w14:textId="7ADE1AA2" w:rsidR="00AD2770" w:rsidRPr="00AD2770" w:rsidRDefault="00AD2770" w:rsidP="00AD2770">
      <w:pPr>
        <w:pStyle w:val="ListParagraph"/>
        <w:numPr>
          <w:ilvl w:val="0"/>
          <w:numId w:val="29"/>
        </w:numPr>
        <w:spacing w:line="276" w:lineRule="auto"/>
        <w:rPr>
          <w:rFonts w:ascii="Tahoma" w:hAnsi="Tahoma" w:cs="Tahoma"/>
        </w:rPr>
      </w:pPr>
      <w:r w:rsidRPr="00AD2770">
        <w:rPr>
          <w:rFonts w:ascii="Tahoma" w:hAnsi="Tahoma" w:cs="Tahoma"/>
        </w:rPr>
        <w:t xml:space="preserve">Attachment B – Local Workforce Development Board Certification Request Process  </w:t>
      </w:r>
    </w:p>
    <w:p w14:paraId="3821EE47" w14:textId="557EF970" w:rsidR="0000272F" w:rsidRPr="00AD2770" w:rsidRDefault="00AD2770" w:rsidP="00AD2770">
      <w:pPr>
        <w:pStyle w:val="ListParagraph"/>
        <w:numPr>
          <w:ilvl w:val="0"/>
          <w:numId w:val="29"/>
        </w:numPr>
        <w:spacing w:line="276" w:lineRule="auto"/>
        <w:rPr>
          <w:rFonts w:ascii="Tahoma" w:hAnsi="Tahoma" w:cs="Tahoma"/>
        </w:rPr>
      </w:pPr>
      <w:r w:rsidRPr="00AD2770">
        <w:rPr>
          <w:rFonts w:ascii="Tahoma" w:hAnsi="Tahoma" w:cs="Tahoma"/>
        </w:rPr>
        <w:t xml:space="preserve">Attachment C – References  </w:t>
      </w:r>
    </w:p>
    <w:p w14:paraId="228EC239" w14:textId="59BDB928" w:rsidR="00BE6128" w:rsidRDefault="00BE6128" w:rsidP="0000272F">
      <w:pPr>
        <w:spacing w:line="276" w:lineRule="auto"/>
        <w:rPr>
          <w:rFonts w:ascii="Tahoma" w:hAnsi="Tahoma" w:cs="Tahoma"/>
        </w:rPr>
      </w:pPr>
    </w:p>
    <w:p w14:paraId="5E751310" w14:textId="512B0A6B" w:rsidR="00BE6128" w:rsidRPr="007215FD" w:rsidRDefault="00BE6128" w:rsidP="00BE6128">
      <w:pPr>
        <w:keepNext/>
        <w:spacing w:after="60" w:line="276" w:lineRule="auto"/>
        <w:rPr>
          <w:rFonts w:ascii="Tahoma" w:hAnsi="Tahoma" w:cs="Tahoma"/>
          <w:b/>
          <w:color w:val="552503"/>
          <w:sz w:val="24"/>
          <w:szCs w:val="24"/>
        </w:rPr>
      </w:pPr>
      <w:r w:rsidRPr="007215FD">
        <w:rPr>
          <w:rFonts w:ascii="Tahoma" w:hAnsi="Tahoma" w:cs="Tahoma"/>
          <w:b/>
          <w:color w:val="552503"/>
          <w:sz w:val="24"/>
          <w:szCs w:val="24"/>
        </w:rPr>
        <w:t>References</w:t>
      </w:r>
    </w:p>
    <w:p w14:paraId="7B1AF2FA" w14:textId="344C1FD6" w:rsidR="00BE6128" w:rsidRDefault="00AD2770" w:rsidP="0000272F">
      <w:pPr>
        <w:spacing w:line="276" w:lineRule="auto"/>
        <w:rPr>
          <w:rFonts w:ascii="Tahoma" w:hAnsi="Tahoma" w:cs="Tahoma"/>
        </w:rPr>
      </w:pPr>
      <w:r w:rsidRPr="00AD2770">
        <w:rPr>
          <w:rFonts w:ascii="Tahoma" w:hAnsi="Tahoma" w:cs="Tahoma"/>
        </w:rPr>
        <w:t>WIOA 107 (c)</w:t>
      </w:r>
    </w:p>
    <w:p w14:paraId="1CB2CC46" w14:textId="4E786080" w:rsidR="0000272F" w:rsidRPr="00C8718B" w:rsidRDefault="0000272F" w:rsidP="0000272F">
      <w:pPr>
        <w:spacing w:line="276" w:lineRule="auto"/>
        <w:rPr>
          <w:rFonts w:ascii="Tahoma" w:hAnsi="Tahoma" w:cs="Tahoma"/>
        </w:rPr>
      </w:pPr>
      <w:r w:rsidRPr="00C8718B">
        <w:rPr>
          <w:rFonts w:ascii="Tahoma" w:hAnsi="Tahoma" w:cs="Tahoma"/>
        </w:rPr>
        <w:br w:type="page"/>
      </w:r>
    </w:p>
    <w:p w14:paraId="21A0279C" w14:textId="77777777" w:rsidR="0000272F" w:rsidRPr="00C8718B" w:rsidRDefault="0000272F" w:rsidP="0000272F">
      <w:pPr>
        <w:spacing w:line="276" w:lineRule="auto"/>
        <w:rPr>
          <w:rFonts w:ascii="Tahoma" w:hAnsi="Tahoma" w:cs="Tahoma"/>
        </w:rPr>
      </w:pPr>
    </w:p>
    <w:sectPr w:rsidR="0000272F" w:rsidRPr="00C8718B" w:rsidSect="0000272F">
      <w:headerReference w:type="default" r:id="rId11"/>
      <w:footerReference w:type="default" r:id="rId12"/>
      <w:headerReference w:type="first" r:id="rId13"/>
      <w:pgSz w:w="12240" w:h="15840" w:code="1"/>
      <w:pgMar w:top="1440" w:right="720" w:bottom="720"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59BB9" w14:textId="77777777" w:rsidR="00817449" w:rsidRDefault="00817449" w:rsidP="00817449">
      <w:r>
        <w:separator/>
      </w:r>
    </w:p>
  </w:endnote>
  <w:endnote w:type="continuationSeparator" w:id="0">
    <w:p w14:paraId="0DC34721" w14:textId="77777777" w:rsidR="00817449" w:rsidRDefault="00817449" w:rsidP="00817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B47D0" w14:textId="6D2C2D3C" w:rsidR="0000272F" w:rsidRPr="0000272F" w:rsidRDefault="00AD2770" w:rsidP="001E5FBB">
    <w:pPr>
      <w:pStyle w:val="Footer"/>
      <w:tabs>
        <w:tab w:val="right" w:pos="10710"/>
      </w:tabs>
      <w:rPr>
        <w:sz w:val="18"/>
        <w:szCs w:val="18"/>
      </w:rPr>
    </w:pPr>
    <w:r w:rsidRPr="00AD2770">
      <w:rPr>
        <w:sz w:val="18"/>
        <w:szCs w:val="18"/>
      </w:rPr>
      <w:t>Appointment and Certification of Local Workforce Development Boards</w:t>
    </w:r>
    <w:r w:rsidR="001E5FBB">
      <w:rPr>
        <w:sz w:val="18"/>
        <w:szCs w:val="18"/>
      </w:rPr>
      <w:tab/>
    </w:r>
    <w:r w:rsidR="0000272F" w:rsidRPr="0000272F">
      <w:rPr>
        <w:sz w:val="18"/>
        <w:szCs w:val="18"/>
      </w:rPr>
      <w:fldChar w:fldCharType="begin"/>
    </w:r>
    <w:r w:rsidR="0000272F" w:rsidRPr="0000272F">
      <w:rPr>
        <w:sz w:val="18"/>
        <w:szCs w:val="18"/>
      </w:rPr>
      <w:instrText xml:space="preserve"> PAGE   \* MERGEFORMAT </w:instrText>
    </w:r>
    <w:r w:rsidR="0000272F" w:rsidRPr="0000272F">
      <w:rPr>
        <w:sz w:val="18"/>
        <w:szCs w:val="18"/>
      </w:rPr>
      <w:fldChar w:fldCharType="separate"/>
    </w:r>
    <w:r w:rsidR="0000272F" w:rsidRPr="0000272F">
      <w:rPr>
        <w:noProof/>
        <w:sz w:val="18"/>
        <w:szCs w:val="18"/>
      </w:rPr>
      <w:t>1</w:t>
    </w:r>
    <w:r w:rsidR="0000272F" w:rsidRPr="0000272F">
      <w:rPr>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276AC" w14:textId="77777777" w:rsidR="00817449" w:rsidRDefault="00817449" w:rsidP="00817449">
      <w:r>
        <w:separator/>
      </w:r>
    </w:p>
  </w:footnote>
  <w:footnote w:type="continuationSeparator" w:id="0">
    <w:p w14:paraId="55825824" w14:textId="77777777" w:rsidR="00817449" w:rsidRDefault="00817449" w:rsidP="008174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6669E" w14:textId="77777777" w:rsidR="00594507" w:rsidRDefault="00817449" w:rsidP="00817449">
    <w:pPr>
      <w:pStyle w:val="Header"/>
      <w:jc w:val="center"/>
      <w:rPr>
        <w:sz w:val="18"/>
        <w:szCs w:val="18"/>
      </w:rPr>
    </w:pPr>
    <w:r>
      <w:rPr>
        <w:sz w:val="18"/>
        <w:szCs w:val="18"/>
      </w:rPr>
      <w:t>State of Oregon</w:t>
    </w:r>
  </w:p>
  <w:p w14:paraId="3B830754" w14:textId="73EC6D5B" w:rsidR="00817449" w:rsidRDefault="00817449" w:rsidP="00817449">
    <w:pPr>
      <w:pStyle w:val="Header"/>
      <w:jc w:val="center"/>
      <w:rPr>
        <w:sz w:val="18"/>
        <w:szCs w:val="18"/>
      </w:rPr>
    </w:pPr>
    <w:r>
      <w:rPr>
        <w:sz w:val="18"/>
        <w:szCs w:val="18"/>
      </w:rPr>
      <w:t xml:space="preserve">Workforce </w:t>
    </w:r>
    <w:r w:rsidR="00355959">
      <w:rPr>
        <w:sz w:val="18"/>
        <w:szCs w:val="18"/>
      </w:rPr>
      <w:t xml:space="preserve">and </w:t>
    </w:r>
    <w:r w:rsidR="00594507">
      <w:rPr>
        <w:sz w:val="18"/>
        <w:szCs w:val="18"/>
      </w:rPr>
      <w:t>Talent Development Board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216" w:type="dxa"/>
      <w:jc w:val="right"/>
      <w:tblBorders>
        <w:top w:val="single" w:sz="12" w:space="0" w:color="552503"/>
        <w:left w:val="single" w:sz="12" w:space="0" w:color="552503"/>
        <w:bottom w:val="single" w:sz="12" w:space="0" w:color="552503"/>
        <w:right w:val="single" w:sz="12" w:space="0" w:color="552503"/>
        <w:insideH w:val="single" w:sz="12" w:space="0" w:color="552503"/>
        <w:insideV w:val="single" w:sz="12" w:space="0" w:color="552503"/>
      </w:tblBorders>
      <w:tblLook w:val="04A0" w:firstRow="1" w:lastRow="0" w:firstColumn="1" w:lastColumn="0" w:noHBand="0" w:noVBand="1"/>
    </w:tblPr>
    <w:tblGrid>
      <w:gridCol w:w="4665"/>
      <w:gridCol w:w="4551"/>
    </w:tblGrid>
    <w:tr w:rsidR="00817449" w:rsidRPr="00C8718B" w14:paraId="7C6D7735" w14:textId="77777777" w:rsidTr="007215FD">
      <w:trPr>
        <w:trHeight w:val="510"/>
        <w:jc w:val="right"/>
      </w:trPr>
      <w:tc>
        <w:tcPr>
          <w:tcW w:w="9216" w:type="dxa"/>
          <w:gridSpan w:val="2"/>
          <w:vAlign w:val="center"/>
        </w:tcPr>
        <w:p w14:paraId="738F6FF6" w14:textId="77777777" w:rsidR="00972661" w:rsidRDefault="00817449" w:rsidP="007215FD">
          <w:pPr>
            <w:pStyle w:val="Header"/>
            <w:jc w:val="center"/>
            <w:rPr>
              <w:rFonts w:ascii="Tahoma" w:hAnsi="Tahoma" w:cs="Tahoma"/>
              <w:sz w:val="26"/>
              <w:szCs w:val="26"/>
            </w:rPr>
          </w:pPr>
          <w:r w:rsidRPr="00C8718B">
            <w:rPr>
              <w:rFonts w:ascii="Tahoma" w:hAnsi="Tahoma" w:cs="Tahoma"/>
              <w:sz w:val="26"/>
              <w:szCs w:val="26"/>
            </w:rPr>
            <w:t xml:space="preserve">Workforce </w:t>
          </w:r>
          <w:r w:rsidR="00355959">
            <w:rPr>
              <w:rFonts w:ascii="Tahoma" w:hAnsi="Tahoma" w:cs="Tahoma"/>
              <w:sz w:val="26"/>
              <w:szCs w:val="26"/>
            </w:rPr>
            <w:t xml:space="preserve">and </w:t>
          </w:r>
          <w:r w:rsidR="007215FD">
            <w:rPr>
              <w:rFonts w:ascii="Tahoma" w:hAnsi="Tahoma" w:cs="Tahoma"/>
              <w:sz w:val="26"/>
              <w:szCs w:val="26"/>
            </w:rPr>
            <w:t>Talent Development Board</w:t>
          </w:r>
        </w:p>
        <w:p w14:paraId="341A9FB3" w14:textId="7158B7C8" w:rsidR="00817449" w:rsidRPr="00C8718B" w:rsidRDefault="00817449" w:rsidP="007215FD">
          <w:pPr>
            <w:pStyle w:val="Header"/>
            <w:jc w:val="center"/>
            <w:rPr>
              <w:rFonts w:ascii="Tahoma" w:hAnsi="Tahoma" w:cs="Tahoma"/>
              <w:sz w:val="26"/>
              <w:szCs w:val="26"/>
            </w:rPr>
          </w:pPr>
          <w:r w:rsidRPr="00C8718B">
            <w:rPr>
              <w:rFonts w:ascii="Tahoma" w:hAnsi="Tahoma" w:cs="Tahoma"/>
              <w:sz w:val="26"/>
              <w:szCs w:val="26"/>
            </w:rPr>
            <w:t>Policy</w:t>
          </w:r>
        </w:p>
      </w:tc>
    </w:tr>
    <w:tr w:rsidR="00817449" w:rsidRPr="00C8718B" w14:paraId="56EED176" w14:textId="77777777" w:rsidTr="007215FD">
      <w:trPr>
        <w:trHeight w:val="364"/>
        <w:jc w:val="right"/>
      </w:trPr>
      <w:tc>
        <w:tcPr>
          <w:tcW w:w="9216" w:type="dxa"/>
          <w:gridSpan w:val="2"/>
          <w:vAlign w:val="center"/>
        </w:tcPr>
        <w:p w14:paraId="0E831CA6" w14:textId="7D3A8058" w:rsidR="00817449" w:rsidRPr="00C8718B" w:rsidRDefault="00817449" w:rsidP="0000272F">
          <w:pPr>
            <w:pStyle w:val="Header"/>
            <w:rPr>
              <w:rFonts w:ascii="Tahoma" w:hAnsi="Tahoma" w:cs="Tahoma"/>
              <w:sz w:val="24"/>
              <w:szCs w:val="24"/>
            </w:rPr>
          </w:pPr>
          <w:r w:rsidRPr="00C8718B">
            <w:rPr>
              <w:rFonts w:ascii="Tahoma" w:hAnsi="Tahoma" w:cs="Tahoma"/>
              <w:sz w:val="24"/>
              <w:szCs w:val="24"/>
            </w:rPr>
            <w:t xml:space="preserve">Subject: </w:t>
          </w:r>
          <w:r w:rsidR="00AD2770" w:rsidRPr="00AD2770">
            <w:rPr>
              <w:rFonts w:ascii="Tahoma" w:hAnsi="Tahoma" w:cs="Tahoma"/>
              <w:sz w:val="24"/>
              <w:szCs w:val="24"/>
            </w:rPr>
            <w:t>Appointment and Certification of Local Workforce Development Boards</w:t>
          </w:r>
        </w:p>
      </w:tc>
    </w:tr>
    <w:tr w:rsidR="00414FAD" w:rsidRPr="00C8718B" w14:paraId="0201671B" w14:textId="77777777" w:rsidTr="007215FD">
      <w:trPr>
        <w:trHeight w:val="355"/>
        <w:jc w:val="right"/>
      </w:trPr>
      <w:tc>
        <w:tcPr>
          <w:tcW w:w="4665" w:type="dxa"/>
          <w:shd w:val="clear" w:color="auto" w:fill="auto"/>
          <w:vAlign w:val="center"/>
        </w:tcPr>
        <w:p w14:paraId="5CEC0878" w14:textId="41D570F2" w:rsidR="00414FAD" w:rsidRPr="00C8718B" w:rsidRDefault="00414FAD" w:rsidP="00414FAD">
          <w:pPr>
            <w:pStyle w:val="Header"/>
            <w:rPr>
              <w:rFonts w:ascii="Tahoma" w:hAnsi="Tahoma" w:cs="Tahoma"/>
            </w:rPr>
          </w:pPr>
          <w:r>
            <w:rPr>
              <w:rFonts w:ascii="Tahoma" w:hAnsi="Tahoma" w:cs="Tahoma"/>
            </w:rPr>
            <w:t xml:space="preserve">Publish </w:t>
          </w:r>
          <w:r w:rsidRPr="00C8718B">
            <w:rPr>
              <w:rFonts w:ascii="Tahoma" w:hAnsi="Tahoma" w:cs="Tahoma"/>
            </w:rPr>
            <w:t xml:space="preserve">Date:  </w:t>
          </w:r>
          <w:r w:rsidRPr="00AD2770">
            <w:rPr>
              <w:rFonts w:ascii="Tahoma" w:hAnsi="Tahoma" w:cs="Tahoma"/>
              <w:highlight w:val="yellow"/>
            </w:rPr>
            <w:t>MM/DD/YYYY</w:t>
          </w:r>
        </w:p>
      </w:tc>
      <w:tc>
        <w:tcPr>
          <w:tcW w:w="4551" w:type="dxa"/>
          <w:shd w:val="clear" w:color="auto" w:fill="auto"/>
          <w:vAlign w:val="center"/>
        </w:tcPr>
        <w:p w14:paraId="22E68ECF" w14:textId="59523559" w:rsidR="00414FAD" w:rsidRPr="00C8718B" w:rsidRDefault="00414FAD" w:rsidP="00414FAD">
          <w:pPr>
            <w:pStyle w:val="Header"/>
            <w:jc w:val="center"/>
            <w:rPr>
              <w:rFonts w:ascii="Tahoma" w:hAnsi="Tahoma" w:cs="Tahoma"/>
            </w:rPr>
          </w:pPr>
          <w:r>
            <w:rPr>
              <w:rFonts w:ascii="Tahoma" w:hAnsi="Tahoma" w:cs="Tahoma"/>
            </w:rPr>
            <w:sym w:font="Wingdings" w:char="F071"/>
          </w:r>
          <w:r>
            <w:rPr>
              <w:rFonts w:ascii="Tahoma" w:hAnsi="Tahoma" w:cs="Tahoma"/>
            </w:rPr>
            <w:t xml:space="preserve"> New Policy    </w:t>
          </w:r>
          <w:r>
            <w:rPr>
              <w:rFonts w:ascii="Tahoma" w:hAnsi="Tahoma" w:cs="Tahoma"/>
            </w:rPr>
            <w:sym w:font="Wingdings" w:char="F071"/>
          </w:r>
          <w:r>
            <w:rPr>
              <w:rFonts w:ascii="Tahoma" w:hAnsi="Tahoma" w:cs="Tahoma"/>
            </w:rPr>
            <w:t xml:space="preserve"> Revised Policy</w:t>
          </w:r>
        </w:p>
      </w:tc>
    </w:tr>
  </w:tbl>
  <w:p w14:paraId="135DFF38" w14:textId="139F4073" w:rsidR="00817449" w:rsidRDefault="0000272F">
    <w:pPr>
      <w:pStyle w:val="Header"/>
    </w:pPr>
    <w:r w:rsidRPr="00F74E7E">
      <w:rPr>
        <w:b/>
        <w:noProof/>
        <w:sz w:val="36"/>
        <w:szCs w:val="36"/>
        <w:u w:val="single"/>
      </w:rPr>
      <w:drawing>
        <wp:anchor distT="0" distB="0" distL="114300" distR="114300" simplePos="0" relativeHeight="251663360" behindDoc="0" locked="0" layoutInCell="1" allowOverlap="1" wp14:anchorId="5F783A7E" wp14:editId="76F091CE">
          <wp:simplePos x="0" y="0"/>
          <wp:positionH relativeFrom="margin">
            <wp:posOffset>-129540</wp:posOffset>
          </wp:positionH>
          <wp:positionV relativeFrom="margin">
            <wp:posOffset>-1102995</wp:posOffset>
          </wp:positionV>
          <wp:extent cx="932180" cy="932180"/>
          <wp:effectExtent l="0" t="0" r="1270"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180" cy="932180"/>
                  </a:xfrm>
                  <a:prstGeom prst="rect">
                    <a:avLst/>
                  </a:prstGeom>
                  <a:noFill/>
                </pic:spPr>
              </pic:pic>
            </a:graphicData>
          </a:graphic>
          <wp14:sizeRelH relativeFrom="page">
            <wp14:pctWidth>0</wp14:pctWidth>
          </wp14:sizeRelH>
          <wp14:sizeRelV relativeFrom="page">
            <wp14:pctHeight>0</wp14:pctHeight>
          </wp14:sizeRelV>
        </wp:anchor>
      </w:drawing>
    </w:r>
    <w:r w:rsidR="00817449" w:rsidRPr="00F74E7E">
      <w:rPr>
        <w:b/>
        <w:noProof/>
        <w:sz w:val="36"/>
        <w:szCs w:val="36"/>
        <w:u w:val="single"/>
      </w:rPr>
      <w:drawing>
        <wp:anchor distT="0" distB="0" distL="114300" distR="114300" simplePos="0" relativeHeight="251661312" behindDoc="0" locked="0" layoutInCell="1" allowOverlap="1" wp14:anchorId="105AD18B" wp14:editId="37029ABE">
          <wp:simplePos x="0" y="0"/>
          <wp:positionH relativeFrom="margin">
            <wp:posOffset>-45720</wp:posOffset>
          </wp:positionH>
          <wp:positionV relativeFrom="margin">
            <wp:posOffset>72390</wp:posOffset>
          </wp:positionV>
          <wp:extent cx="932688" cy="932688"/>
          <wp:effectExtent l="0" t="0" r="1270" b="1270"/>
          <wp:wrapSquare wrapText="bothSides"/>
          <wp:docPr id="1" name="Picture 1"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688" cy="932688"/>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3025695"/>
    <w:multiLevelType w:val="hybridMultilevel"/>
    <w:tmpl w:val="AB1601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45321D4"/>
    <w:multiLevelType w:val="hybridMultilevel"/>
    <w:tmpl w:val="E618E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4236664A"/>
    <w:multiLevelType w:val="hybridMultilevel"/>
    <w:tmpl w:val="07301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44C5CB2"/>
    <w:multiLevelType w:val="hybridMultilevel"/>
    <w:tmpl w:val="F6B29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582C55F0"/>
    <w:multiLevelType w:val="hybridMultilevel"/>
    <w:tmpl w:val="21B2E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4971E0B"/>
    <w:multiLevelType w:val="hybridMultilevel"/>
    <w:tmpl w:val="923ED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696998211">
    <w:abstractNumId w:val="24"/>
  </w:num>
  <w:num w:numId="2" w16cid:durableId="632297001">
    <w:abstractNumId w:val="12"/>
  </w:num>
  <w:num w:numId="3" w16cid:durableId="1221333172">
    <w:abstractNumId w:val="10"/>
  </w:num>
  <w:num w:numId="4" w16cid:durableId="1913663997">
    <w:abstractNumId w:val="26"/>
  </w:num>
  <w:num w:numId="5" w16cid:durableId="1738238372">
    <w:abstractNumId w:val="14"/>
  </w:num>
  <w:num w:numId="6" w16cid:durableId="892814940">
    <w:abstractNumId w:val="18"/>
  </w:num>
  <w:num w:numId="7" w16cid:durableId="1750737347">
    <w:abstractNumId w:val="22"/>
  </w:num>
  <w:num w:numId="8" w16cid:durableId="841042704">
    <w:abstractNumId w:val="9"/>
  </w:num>
  <w:num w:numId="9" w16cid:durableId="775562525">
    <w:abstractNumId w:val="7"/>
  </w:num>
  <w:num w:numId="10" w16cid:durableId="893464451">
    <w:abstractNumId w:val="6"/>
  </w:num>
  <w:num w:numId="11" w16cid:durableId="1123961039">
    <w:abstractNumId w:val="5"/>
  </w:num>
  <w:num w:numId="12" w16cid:durableId="1954239671">
    <w:abstractNumId w:val="4"/>
  </w:num>
  <w:num w:numId="13" w16cid:durableId="1346861534">
    <w:abstractNumId w:val="8"/>
  </w:num>
  <w:num w:numId="14" w16cid:durableId="621156496">
    <w:abstractNumId w:val="3"/>
  </w:num>
  <w:num w:numId="15" w16cid:durableId="1781603715">
    <w:abstractNumId w:val="2"/>
  </w:num>
  <w:num w:numId="16" w16cid:durableId="1709796753">
    <w:abstractNumId w:val="1"/>
  </w:num>
  <w:num w:numId="17" w16cid:durableId="1355106769">
    <w:abstractNumId w:val="0"/>
  </w:num>
  <w:num w:numId="18" w16cid:durableId="1571229118">
    <w:abstractNumId w:val="15"/>
  </w:num>
  <w:num w:numId="19" w16cid:durableId="445123064">
    <w:abstractNumId w:val="16"/>
  </w:num>
  <w:num w:numId="20" w16cid:durableId="1133133916">
    <w:abstractNumId w:val="25"/>
  </w:num>
  <w:num w:numId="21" w16cid:durableId="640378440">
    <w:abstractNumId w:val="20"/>
  </w:num>
  <w:num w:numId="22" w16cid:durableId="334695705">
    <w:abstractNumId w:val="11"/>
  </w:num>
  <w:num w:numId="23" w16cid:durableId="1978993678">
    <w:abstractNumId w:val="28"/>
  </w:num>
  <w:num w:numId="24" w16cid:durableId="1780681305">
    <w:abstractNumId w:val="13"/>
  </w:num>
  <w:num w:numId="25" w16cid:durableId="306979323">
    <w:abstractNumId w:val="19"/>
  </w:num>
  <w:num w:numId="26" w16cid:durableId="1456559364">
    <w:abstractNumId w:val="21"/>
  </w:num>
  <w:num w:numId="27" w16cid:durableId="215703654">
    <w:abstractNumId w:val="27"/>
  </w:num>
  <w:num w:numId="28" w16cid:durableId="1627199513">
    <w:abstractNumId w:val="17"/>
  </w:num>
  <w:num w:numId="29" w16cid:durableId="175644165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449"/>
    <w:rsid w:val="0000272F"/>
    <w:rsid w:val="000F554D"/>
    <w:rsid w:val="001E5FBB"/>
    <w:rsid w:val="002107BB"/>
    <w:rsid w:val="00355959"/>
    <w:rsid w:val="00414FAD"/>
    <w:rsid w:val="0047478F"/>
    <w:rsid w:val="005518EE"/>
    <w:rsid w:val="00594507"/>
    <w:rsid w:val="00615E7B"/>
    <w:rsid w:val="00645252"/>
    <w:rsid w:val="006D3D74"/>
    <w:rsid w:val="00706FBB"/>
    <w:rsid w:val="007215FD"/>
    <w:rsid w:val="007604D0"/>
    <w:rsid w:val="007D7F52"/>
    <w:rsid w:val="00817449"/>
    <w:rsid w:val="0083569A"/>
    <w:rsid w:val="00946E7C"/>
    <w:rsid w:val="00972661"/>
    <w:rsid w:val="00A9204E"/>
    <w:rsid w:val="00AD2770"/>
    <w:rsid w:val="00B8775D"/>
    <w:rsid w:val="00BE6128"/>
    <w:rsid w:val="00C02B49"/>
    <w:rsid w:val="00C60998"/>
    <w:rsid w:val="00C8718B"/>
    <w:rsid w:val="00CA6F4E"/>
    <w:rsid w:val="00CC38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12B64C68"/>
  <w15:chartTrackingRefBased/>
  <w15:docId w15:val="{8C5AB65A-F8F2-44E7-810E-4EB82A373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ind w:left="1757"/>
    </w:pPr>
  </w:style>
  <w:style w:type="table" w:styleId="TableGrid">
    <w:name w:val="Table Grid"/>
    <w:basedOn w:val="TableNormal"/>
    <w:uiPriority w:val="59"/>
    <w:rsid w:val="008174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2">
    <w:name w:val="Style2"/>
    <w:basedOn w:val="DefaultParagraphFont"/>
    <w:uiPriority w:val="1"/>
    <w:rsid w:val="00817449"/>
    <w:rPr>
      <w:rFonts w:ascii="Arial" w:hAnsi="Arial"/>
      <w:b/>
      <w:sz w:val="22"/>
    </w:rPr>
  </w:style>
  <w:style w:type="character" w:customStyle="1" w:styleId="Style8">
    <w:name w:val="Style8"/>
    <w:basedOn w:val="DefaultParagraphFont"/>
    <w:uiPriority w:val="1"/>
    <w:rsid w:val="00817449"/>
    <w:rPr>
      <w:rFonts w:ascii="Arial" w:hAnsi="Arial"/>
      <w:b/>
      <w:sz w:val="24"/>
    </w:rPr>
  </w:style>
  <w:style w:type="character" w:customStyle="1" w:styleId="Style10">
    <w:name w:val="Style10"/>
    <w:basedOn w:val="DefaultParagraphFont"/>
    <w:uiPriority w:val="1"/>
    <w:rsid w:val="00817449"/>
    <w:rPr>
      <w:rFonts w:ascii="Arial" w:hAnsi="Arial"/>
      <w:sz w:val="24"/>
    </w:rPr>
  </w:style>
  <w:style w:type="character" w:customStyle="1" w:styleId="Style4">
    <w:name w:val="Style4"/>
    <w:basedOn w:val="DefaultParagraphFont"/>
    <w:uiPriority w:val="1"/>
    <w:rsid w:val="00817449"/>
    <w:rPr>
      <w:rFonts w:ascii="Arial" w:hAnsi="Arial"/>
      <w:b/>
      <w:color w:val="0070C0"/>
      <w:sz w:val="24"/>
    </w:rPr>
  </w:style>
  <w:style w:type="character" w:customStyle="1" w:styleId="Style5">
    <w:name w:val="Style5"/>
    <w:basedOn w:val="DefaultParagraphFont"/>
    <w:uiPriority w:val="1"/>
    <w:rsid w:val="00817449"/>
    <w:rPr>
      <w:rFonts w:ascii="Arial" w:hAnsi="Arial"/>
      <w:b/>
      <w:sz w:val="22"/>
    </w:rPr>
  </w:style>
  <w:style w:type="character" w:customStyle="1" w:styleId="Style25">
    <w:name w:val="Style25"/>
    <w:basedOn w:val="DefaultParagraphFont"/>
    <w:uiPriority w:val="1"/>
    <w:rsid w:val="00817449"/>
    <w:rPr>
      <w:rFonts w:ascii="Arial" w:hAnsi="Arial"/>
      <w:color w:val="2E74B5" w:themeColor="accent1" w:themeShade="BF"/>
      <w:sz w:val="16"/>
    </w:rPr>
  </w:style>
  <w:style w:type="character" w:customStyle="1" w:styleId="Style27">
    <w:name w:val="Style27"/>
    <w:basedOn w:val="DefaultParagraphFont"/>
    <w:uiPriority w:val="1"/>
    <w:rsid w:val="00817449"/>
    <w:rPr>
      <w:rFonts w:ascii="Arial" w:hAnsi="Arial"/>
      <w:color w:val="2E74B5" w:themeColor="accent1" w:themeShade="BF"/>
      <w:sz w:val="28"/>
    </w:rPr>
  </w:style>
  <w:style w:type="paragraph" w:styleId="ListParagraph">
    <w:name w:val="List Paragraph"/>
    <w:basedOn w:val="Normal"/>
    <w:uiPriority w:val="34"/>
    <w:unhideWhenUsed/>
    <w:qFormat/>
    <w:rsid w:val="0047478F"/>
    <w:pPr>
      <w:ind w:left="720"/>
      <w:contextualSpacing/>
    </w:pPr>
  </w:style>
  <w:style w:type="character" w:styleId="UnresolvedMention">
    <w:name w:val="Unresolved Mention"/>
    <w:basedOn w:val="DefaultParagraphFont"/>
    <w:uiPriority w:val="99"/>
    <w:semiHidden/>
    <w:unhideWhenUsed/>
    <w:rsid w:val="009726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WTDBPolicy@hecc.oregon.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frater\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DB1CC-CEFB-4E46-8174-1F0AA0D30B24}">
  <ds:schemaRefs>
    <ds:schemaRef ds:uri="4873beb7-5857-4685-be1f-d57550cc96cc"/>
    <ds:schemaRef ds:uri="http://purl.org/dc/elements/1.1/"/>
    <ds:schemaRef ds:uri="http://schemas.microsoft.com/office/2006/metadata/properties"/>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Single spaced (blank)</Template>
  <TotalTime>9</TotalTime>
  <Pages>4</Pages>
  <Words>721</Words>
  <Characters>4114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Janice Frater</dc:creator>
  <cp:keywords/>
  <dc:description/>
  <cp:lastModifiedBy>KING Sydney G * HECC</cp:lastModifiedBy>
  <cp:revision>2</cp:revision>
  <dcterms:created xsi:type="dcterms:W3CDTF">2024-04-15T18:20:00Z</dcterms:created>
  <dcterms:modified xsi:type="dcterms:W3CDTF">2024-04-15T18:20:00Z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y fmtid="{D5CDD505-2E9C-101B-9397-08002B2CF9AE}" pid="8" name="MSIP_Label_db79d039-fcd0-4045-9c78-4cfb2eba0904_Enabled">
    <vt:lpwstr>true</vt:lpwstr>
  </property>
  <property fmtid="{D5CDD505-2E9C-101B-9397-08002B2CF9AE}" pid="9" name="MSIP_Label_db79d039-fcd0-4045-9c78-4cfb2eba0904_SetDate">
    <vt:lpwstr>2024-04-15T17:57:06Z</vt:lpwstr>
  </property>
  <property fmtid="{D5CDD505-2E9C-101B-9397-08002B2CF9AE}" pid="10" name="MSIP_Label_db79d039-fcd0-4045-9c78-4cfb2eba0904_Method">
    <vt:lpwstr>Privileged</vt:lpwstr>
  </property>
  <property fmtid="{D5CDD505-2E9C-101B-9397-08002B2CF9AE}" pid="11" name="MSIP_Label_db79d039-fcd0-4045-9c78-4cfb2eba0904_Name">
    <vt:lpwstr>Level 2 - Limited (Items)</vt:lpwstr>
  </property>
  <property fmtid="{D5CDD505-2E9C-101B-9397-08002B2CF9AE}" pid="12" name="MSIP_Label_db79d039-fcd0-4045-9c78-4cfb2eba0904_SiteId">
    <vt:lpwstr>aa3f6932-fa7c-47b4-a0ce-a598cad161cf</vt:lpwstr>
  </property>
  <property fmtid="{D5CDD505-2E9C-101B-9397-08002B2CF9AE}" pid="13" name="MSIP_Label_db79d039-fcd0-4045-9c78-4cfb2eba0904_ActionId">
    <vt:lpwstr>d1fee8d5-d1ae-40e8-9177-66f4f41329ab</vt:lpwstr>
  </property>
  <property fmtid="{D5CDD505-2E9C-101B-9397-08002B2CF9AE}" pid="14" name="MSIP_Label_db79d039-fcd0-4045-9c78-4cfb2eba0904_ContentBits">
    <vt:lpwstr>0</vt:lpwstr>
  </property>
</Properties>
</file>