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7930" w14:textId="1746B7FD" w:rsidR="009F4ABE" w:rsidRDefault="009F4ABE" w:rsidP="00104234">
      <w:pPr>
        <w:pStyle w:val="Title"/>
        <w:jc w:val="center"/>
      </w:pPr>
      <w:r>
        <w:t>Addressing the h</w:t>
      </w:r>
      <w:r w:rsidR="00A71E04" w:rsidRPr="00AB4C30">
        <w:t>ealth</w:t>
      </w:r>
      <w:r w:rsidR="00524F75">
        <w:t xml:space="preserve"> and </w:t>
      </w:r>
      <w:r w:rsidR="00A71E04" w:rsidRPr="00AB4C30">
        <w:t>care workforce</w:t>
      </w:r>
      <w:r w:rsidR="0054330F" w:rsidRPr="00AB4C30">
        <w:t xml:space="preserve"> </w:t>
      </w:r>
      <w:r>
        <w:t>crisis</w:t>
      </w:r>
      <w:r w:rsidR="00163685">
        <w:t>: ways forward for policymaking</w:t>
      </w:r>
    </w:p>
    <w:p w14:paraId="18D3AF36" w14:textId="52216507" w:rsidR="00483269" w:rsidRPr="00AB4C30" w:rsidRDefault="00524F75" w:rsidP="00104234">
      <w:pPr>
        <w:pStyle w:val="Title"/>
        <w:jc w:val="center"/>
      </w:pPr>
      <w:r>
        <w:t>EPHA</w:t>
      </w:r>
      <w:r w:rsidR="0054330F" w:rsidRPr="00AB4C30">
        <w:t xml:space="preserve"> joint position </w:t>
      </w:r>
      <w:r w:rsidR="00A71E04" w:rsidRPr="00AB4C30">
        <w:t>paper</w:t>
      </w:r>
    </w:p>
    <w:sdt>
      <w:sdtPr>
        <w:id w:val="2066208583"/>
        <w:docPartObj>
          <w:docPartGallery w:val="Table of Contents"/>
          <w:docPartUnique/>
        </w:docPartObj>
      </w:sdtPr>
      <w:sdtEndPr>
        <w:rPr>
          <w:b/>
          <w:bCs/>
          <w:noProof/>
        </w:rPr>
      </w:sdtEndPr>
      <w:sdtContent>
        <w:p w14:paraId="5D8549A7" w14:textId="727F3B72" w:rsidR="0029540D" w:rsidRDefault="0065061B">
          <w:pPr>
            <w:pStyle w:val="TOC1"/>
            <w:rPr>
              <w:rFonts w:eastAsiaTheme="minorEastAsia"/>
              <w:noProof/>
              <w:sz w:val="24"/>
              <w:szCs w:val="24"/>
              <w:lang w:val="fr-BE" w:eastAsia="fr-BE"/>
            </w:rPr>
          </w:pPr>
          <w:r>
            <w:fldChar w:fldCharType="begin"/>
          </w:r>
          <w:r>
            <w:instrText xml:space="preserve"> TOC \o "1-3" \h \z \u </w:instrText>
          </w:r>
          <w:r>
            <w:fldChar w:fldCharType="separate"/>
          </w:r>
          <w:hyperlink w:anchor="_Toc159502610" w:history="1">
            <w:r w:rsidR="0029540D" w:rsidRPr="00B12A7C">
              <w:rPr>
                <w:rStyle w:val="Hyperlink"/>
                <w:noProof/>
                <w:lang w:val="en-US"/>
              </w:rPr>
              <w:t>1.</w:t>
            </w:r>
            <w:r w:rsidR="0029540D">
              <w:rPr>
                <w:rFonts w:eastAsiaTheme="minorEastAsia"/>
                <w:noProof/>
                <w:sz w:val="24"/>
                <w:szCs w:val="24"/>
                <w:lang w:val="fr-BE" w:eastAsia="fr-BE"/>
              </w:rPr>
              <w:tab/>
            </w:r>
            <w:r w:rsidR="0029540D" w:rsidRPr="00B12A7C">
              <w:rPr>
                <w:rStyle w:val="Hyperlink"/>
                <w:noProof/>
              </w:rPr>
              <w:t>Executive Summary</w:t>
            </w:r>
            <w:r w:rsidR="0029540D">
              <w:rPr>
                <w:noProof/>
                <w:webHidden/>
              </w:rPr>
              <w:tab/>
            </w:r>
            <w:r w:rsidR="0029540D">
              <w:rPr>
                <w:noProof/>
                <w:webHidden/>
              </w:rPr>
              <w:fldChar w:fldCharType="begin"/>
            </w:r>
            <w:r w:rsidR="0029540D">
              <w:rPr>
                <w:noProof/>
                <w:webHidden/>
              </w:rPr>
              <w:instrText xml:space="preserve"> PAGEREF _Toc159502610 \h </w:instrText>
            </w:r>
            <w:r w:rsidR="0029540D">
              <w:rPr>
                <w:noProof/>
                <w:webHidden/>
              </w:rPr>
            </w:r>
            <w:r w:rsidR="0029540D">
              <w:rPr>
                <w:noProof/>
                <w:webHidden/>
              </w:rPr>
              <w:fldChar w:fldCharType="separate"/>
            </w:r>
            <w:r w:rsidR="0029540D">
              <w:rPr>
                <w:noProof/>
                <w:webHidden/>
              </w:rPr>
              <w:t>2</w:t>
            </w:r>
            <w:r w:rsidR="0029540D">
              <w:rPr>
                <w:noProof/>
                <w:webHidden/>
              </w:rPr>
              <w:fldChar w:fldCharType="end"/>
            </w:r>
          </w:hyperlink>
        </w:p>
        <w:p w14:paraId="5D678487" w14:textId="47218444" w:rsidR="0029540D" w:rsidRDefault="0029540D">
          <w:pPr>
            <w:pStyle w:val="TOC1"/>
            <w:rPr>
              <w:rFonts w:eastAsiaTheme="minorEastAsia"/>
              <w:noProof/>
              <w:sz w:val="24"/>
              <w:szCs w:val="24"/>
              <w:lang w:val="fr-BE" w:eastAsia="fr-BE"/>
            </w:rPr>
          </w:pPr>
          <w:hyperlink w:anchor="_Toc159502611" w:history="1">
            <w:r w:rsidRPr="00B12A7C">
              <w:rPr>
                <w:rStyle w:val="Hyperlink"/>
                <w:noProof/>
                <w:lang w:val="en-US"/>
              </w:rPr>
              <w:t>2.</w:t>
            </w:r>
            <w:r>
              <w:rPr>
                <w:rFonts w:eastAsiaTheme="minorEastAsia"/>
                <w:noProof/>
                <w:sz w:val="24"/>
                <w:szCs w:val="24"/>
                <w:lang w:val="fr-BE" w:eastAsia="fr-BE"/>
              </w:rPr>
              <w:tab/>
            </w:r>
            <w:r w:rsidRPr="00B12A7C">
              <w:rPr>
                <w:rStyle w:val="Hyperlink"/>
                <w:noProof/>
              </w:rPr>
              <w:t>Context</w:t>
            </w:r>
            <w:r>
              <w:rPr>
                <w:noProof/>
                <w:webHidden/>
              </w:rPr>
              <w:tab/>
            </w:r>
            <w:r>
              <w:rPr>
                <w:noProof/>
                <w:webHidden/>
              </w:rPr>
              <w:fldChar w:fldCharType="begin"/>
            </w:r>
            <w:r>
              <w:rPr>
                <w:noProof/>
                <w:webHidden/>
              </w:rPr>
              <w:instrText xml:space="preserve"> PAGEREF _Toc159502611 \h </w:instrText>
            </w:r>
            <w:r>
              <w:rPr>
                <w:noProof/>
                <w:webHidden/>
              </w:rPr>
            </w:r>
            <w:r>
              <w:rPr>
                <w:noProof/>
                <w:webHidden/>
              </w:rPr>
              <w:fldChar w:fldCharType="separate"/>
            </w:r>
            <w:r>
              <w:rPr>
                <w:noProof/>
                <w:webHidden/>
              </w:rPr>
              <w:t>3</w:t>
            </w:r>
            <w:r>
              <w:rPr>
                <w:noProof/>
                <w:webHidden/>
              </w:rPr>
              <w:fldChar w:fldCharType="end"/>
            </w:r>
          </w:hyperlink>
        </w:p>
        <w:p w14:paraId="6754085B" w14:textId="777E8979" w:rsidR="0029540D" w:rsidRDefault="0029540D">
          <w:pPr>
            <w:pStyle w:val="TOC1"/>
            <w:rPr>
              <w:rFonts w:eastAsiaTheme="minorEastAsia"/>
              <w:noProof/>
              <w:sz w:val="24"/>
              <w:szCs w:val="24"/>
              <w:lang w:val="fr-BE" w:eastAsia="fr-BE"/>
            </w:rPr>
          </w:pPr>
          <w:hyperlink w:anchor="_Toc159502612" w:history="1">
            <w:r w:rsidRPr="00B12A7C">
              <w:rPr>
                <w:rStyle w:val="Hyperlink"/>
                <w:noProof/>
                <w:lang w:val="en-US"/>
              </w:rPr>
              <w:t>3.</w:t>
            </w:r>
            <w:r>
              <w:rPr>
                <w:rFonts w:eastAsiaTheme="minorEastAsia"/>
                <w:noProof/>
                <w:sz w:val="24"/>
                <w:szCs w:val="24"/>
                <w:lang w:val="fr-BE" w:eastAsia="fr-BE"/>
              </w:rPr>
              <w:tab/>
            </w:r>
            <w:r w:rsidRPr="00B12A7C">
              <w:rPr>
                <w:rStyle w:val="Hyperlink"/>
                <w:noProof/>
              </w:rPr>
              <w:t>Objectives</w:t>
            </w:r>
            <w:r>
              <w:rPr>
                <w:noProof/>
                <w:webHidden/>
              </w:rPr>
              <w:tab/>
            </w:r>
            <w:r>
              <w:rPr>
                <w:noProof/>
                <w:webHidden/>
              </w:rPr>
              <w:fldChar w:fldCharType="begin"/>
            </w:r>
            <w:r>
              <w:rPr>
                <w:noProof/>
                <w:webHidden/>
              </w:rPr>
              <w:instrText xml:space="preserve"> PAGEREF _Toc159502612 \h </w:instrText>
            </w:r>
            <w:r>
              <w:rPr>
                <w:noProof/>
                <w:webHidden/>
              </w:rPr>
            </w:r>
            <w:r>
              <w:rPr>
                <w:noProof/>
                <w:webHidden/>
              </w:rPr>
              <w:fldChar w:fldCharType="separate"/>
            </w:r>
            <w:r>
              <w:rPr>
                <w:noProof/>
                <w:webHidden/>
              </w:rPr>
              <w:t>4</w:t>
            </w:r>
            <w:r>
              <w:rPr>
                <w:noProof/>
                <w:webHidden/>
              </w:rPr>
              <w:fldChar w:fldCharType="end"/>
            </w:r>
          </w:hyperlink>
        </w:p>
        <w:p w14:paraId="1DD178AE" w14:textId="3E1630FE" w:rsidR="0029540D" w:rsidRDefault="0029540D">
          <w:pPr>
            <w:pStyle w:val="TOC1"/>
            <w:rPr>
              <w:rFonts w:eastAsiaTheme="minorEastAsia"/>
              <w:noProof/>
              <w:sz w:val="24"/>
              <w:szCs w:val="24"/>
              <w:lang w:val="fr-BE" w:eastAsia="fr-BE"/>
            </w:rPr>
          </w:pPr>
          <w:hyperlink w:anchor="_Toc159502613" w:history="1">
            <w:r w:rsidRPr="00B12A7C">
              <w:rPr>
                <w:rStyle w:val="Hyperlink"/>
                <w:noProof/>
                <w:lang w:val="en-US"/>
              </w:rPr>
              <w:t>4.</w:t>
            </w:r>
            <w:r>
              <w:rPr>
                <w:rFonts w:eastAsiaTheme="minorEastAsia"/>
                <w:noProof/>
                <w:sz w:val="24"/>
                <w:szCs w:val="24"/>
                <w:lang w:val="fr-BE" w:eastAsia="fr-BE"/>
              </w:rPr>
              <w:tab/>
            </w:r>
            <w:r w:rsidRPr="00B12A7C">
              <w:rPr>
                <w:rStyle w:val="Hyperlink"/>
                <w:noProof/>
              </w:rPr>
              <w:t>The situation of the health and care workforce</w:t>
            </w:r>
            <w:r>
              <w:rPr>
                <w:noProof/>
                <w:webHidden/>
              </w:rPr>
              <w:tab/>
            </w:r>
            <w:r>
              <w:rPr>
                <w:noProof/>
                <w:webHidden/>
              </w:rPr>
              <w:fldChar w:fldCharType="begin"/>
            </w:r>
            <w:r>
              <w:rPr>
                <w:noProof/>
                <w:webHidden/>
              </w:rPr>
              <w:instrText xml:space="preserve"> PAGEREF _Toc159502613 \h </w:instrText>
            </w:r>
            <w:r>
              <w:rPr>
                <w:noProof/>
                <w:webHidden/>
              </w:rPr>
            </w:r>
            <w:r>
              <w:rPr>
                <w:noProof/>
                <w:webHidden/>
              </w:rPr>
              <w:fldChar w:fldCharType="separate"/>
            </w:r>
            <w:r>
              <w:rPr>
                <w:noProof/>
                <w:webHidden/>
              </w:rPr>
              <w:t>5</w:t>
            </w:r>
            <w:r>
              <w:rPr>
                <w:noProof/>
                <w:webHidden/>
              </w:rPr>
              <w:fldChar w:fldCharType="end"/>
            </w:r>
          </w:hyperlink>
        </w:p>
        <w:p w14:paraId="080F7B17" w14:textId="6D8D69E9" w:rsidR="0029540D" w:rsidRDefault="0029540D">
          <w:pPr>
            <w:pStyle w:val="TOC2"/>
            <w:rPr>
              <w:rFonts w:eastAsiaTheme="minorEastAsia"/>
              <w:noProof/>
              <w:sz w:val="24"/>
              <w:szCs w:val="24"/>
              <w:lang w:val="fr-BE" w:eastAsia="fr-BE"/>
            </w:rPr>
          </w:pPr>
          <w:hyperlink w:anchor="_Toc159502614" w:history="1">
            <w:r w:rsidRPr="00B12A7C">
              <w:rPr>
                <w:rStyle w:val="Hyperlink"/>
                <w:rFonts w:cstheme="majorHAnsi"/>
                <w:noProof/>
              </w:rPr>
              <w:t>4.1.</w:t>
            </w:r>
            <w:r>
              <w:rPr>
                <w:rFonts w:eastAsiaTheme="minorEastAsia"/>
                <w:noProof/>
                <w:sz w:val="24"/>
                <w:szCs w:val="24"/>
                <w:lang w:val="fr-BE" w:eastAsia="fr-BE"/>
              </w:rPr>
              <w:tab/>
            </w:r>
            <w:r w:rsidRPr="00B12A7C">
              <w:rPr>
                <w:rStyle w:val="Hyperlink"/>
                <w:noProof/>
              </w:rPr>
              <w:t>Staff shortages and medical deserts</w:t>
            </w:r>
            <w:r>
              <w:rPr>
                <w:noProof/>
                <w:webHidden/>
              </w:rPr>
              <w:tab/>
            </w:r>
            <w:r>
              <w:rPr>
                <w:noProof/>
                <w:webHidden/>
              </w:rPr>
              <w:fldChar w:fldCharType="begin"/>
            </w:r>
            <w:r>
              <w:rPr>
                <w:noProof/>
                <w:webHidden/>
              </w:rPr>
              <w:instrText xml:space="preserve"> PAGEREF _Toc159502614 \h </w:instrText>
            </w:r>
            <w:r>
              <w:rPr>
                <w:noProof/>
                <w:webHidden/>
              </w:rPr>
            </w:r>
            <w:r>
              <w:rPr>
                <w:noProof/>
                <w:webHidden/>
              </w:rPr>
              <w:fldChar w:fldCharType="separate"/>
            </w:r>
            <w:r>
              <w:rPr>
                <w:noProof/>
                <w:webHidden/>
              </w:rPr>
              <w:t>5</w:t>
            </w:r>
            <w:r>
              <w:rPr>
                <w:noProof/>
                <w:webHidden/>
              </w:rPr>
              <w:fldChar w:fldCharType="end"/>
            </w:r>
          </w:hyperlink>
        </w:p>
        <w:p w14:paraId="54F1C698" w14:textId="7F57385E" w:rsidR="0029540D" w:rsidRDefault="0029540D">
          <w:pPr>
            <w:pStyle w:val="TOC2"/>
            <w:rPr>
              <w:rFonts w:eastAsiaTheme="minorEastAsia"/>
              <w:noProof/>
              <w:sz w:val="24"/>
              <w:szCs w:val="24"/>
              <w:lang w:val="fr-BE" w:eastAsia="fr-BE"/>
            </w:rPr>
          </w:pPr>
          <w:hyperlink w:anchor="_Toc159502615" w:history="1">
            <w:r w:rsidRPr="00B12A7C">
              <w:rPr>
                <w:rStyle w:val="Hyperlink"/>
                <w:noProof/>
              </w:rPr>
              <w:t>4.2.</w:t>
            </w:r>
            <w:r>
              <w:rPr>
                <w:rFonts w:eastAsiaTheme="minorEastAsia"/>
                <w:noProof/>
                <w:sz w:val="24"/>
                <w:szCs w:val="24"/>
                <w:lang w:val="fr-BE" w:eastAsia="fr-BE"/>
              </w:rPr>
              <w:tab/>
            </w:r>
            <w:r w:rsidRPr="00B12A7C">
              <w:rPr>
                <w:rStyle w:val="Hyperlink"/>
                <w:noProof/>
              </w:rPr>
              <w:t>Skills and education</w:t>
            </w:r>
            <w:r>
              <w:rPr>
                <w:noProof/>
                <w:webHidden/>
              </w:rPr>
              <w:tab/>
            </w:r>
            <w:r>
              <w:rPr>
                <w:noProof/>
                <w:webHidden/>
              </w:rPr>
              <w:fldChar w:fldCharType="begin"/>
            </w:r>
            <w:r>
              <w:rPr>
                <w:noProof/>
                <w:webHidden/>
              </w:rPr>
              <w:instrText xml:space="preserve"> PAGEREF _Toc159502615 \h </w:instrText>
            </w:r>
            <w:r>
              <w:rPr>
                <w:noProof/>
                <w:webHidden/>
              </w:rPr>
            </w:r>
            <w:r>
              <w:rPr>
                <w:noProof/>
                <w:webHidden/>
              </w:rPr>
              <w:fldChar w:fldCharType="separate"/>
            </w:r>
            <w:r>
              <w:rPr>
                <w:noProof/>
                <w:webHidden/>
              </w:rPr>
              <w:t>8</w:t>
            </w:r>
            <w:r>
              <w:rPr>
                <w:noProof/>
                <w:webHidden/>
              </w:rPr>
              <w:fldChar w:fldCharType="end"/>
            </w:r>
          </w:hyperlink>
        </w:p>
        <w:p w14:paraId="5A5C999F" w14:textId="0A4428A2" w:rsidR="0029540D" w:rsidRDefault="0029540D">
          <w:pPr>
            <w:pStyle w:val="TOC2"/>
            <w:rPr>
              <w:rFonts w:eastAsiaTheme="minorEastAsia"/>
              <w:noProof/>
              <w:sz w:val="24"/>
              <w:szCs w:val="24"/>
              <w:lang w:val="fr-BE" w:eastAsia="fr-BE"/>
            </w:rPr>
          </w:pPr>
          <w:hyperlink w:anchor="_Toc159502616" w:history="1">
            <w:r w:rsidRPr="00B12A7C">
              <w:rPr>
                <w:rStyle w:val="Hyperlink"/>
                <w:noProof/>
              </w:rPr>
              <w:t>4.3.</w:t>
            </w:r>
            <w:r>
              <w:rPr>
                <w:rFonts w:eastAsiaTheme="minorEastAsia"/>
                <w:noProof/>
                <w:sz w:val="24"/>
                <w:szCs w:val="24"/>
                <w:lang w:val="fr-BE" w:eastAsia="fr-BE"/>
              </w:rPr>
              <w:tab/>
            </w:r>
            <w:r w:rsidRPr="00B12A7C">
              <w:rPr>
                <w:rStyle w:val="Hyperlink"/>
                <w:noProof/>
              </w:rPr>
              <w:t>Gender disparities</w:t>
            </w:r>
            <w:r>
              <w:rPr>
                <w:noProof/>
                <w:webHidden/>
              </w:rPr>
              <w:tab/>
            </w:r>
            <w:r>
              <w:rPr>
                <w:noProof/>
                <w:webHidden/>
              </w:rPr>
              <w:fldChar w:fldCharType="begin"/>
            </w:r>
            <w:r>
              <w:rPr>
                <w:noProof/>
                <w:webHidden/>
              </w:rPr>
              <w:instrText xml:space="preserve"> PAGEREF _Toc159502616 \h </w:instrText>
            </w:r>
            <w:r>
              <w:rPr>
                <w:noProof/>
                <w:webHidden/>
              </w:rPr>
            </w:r>
            <w:r>
              <w:rPr>
                <w:noProof/>
                <w:webHidden/>
              </w:rPr>
              <w:fldChar w:fldCharType="separate"/>
            </w:r>
            <w:r>
              <w:rPr>
                <w:noProof/>
                <w:webHidden/>
              </w:rPr>
              <w:t>10</w:t>
            </w:r>
            <w:r>
              <w:rPr>
                <w:noProof/>
                <w:webHidden/>
              </w:rPr>
              <w:fldChar w:fldCharType="end"/>
            </w:r>
          </w:hyperlink>
        </w:p>
        <w:p w14:paraId="2D7E51E3" w14:textId="596F420B" w:rsidR="0029540D" w:rsidRDefault="0029540D">
          <w:pPr>
            <w:pStyle w:val="TOC2"/>
            <w:rPr>
              <w:rFonts w:eastAsiaTheme="minorEastAsia"/>
              <w:noProof/>
              <w:sz w:val="24"/>
              <w:szCs w:val="24"/>
              <w:lang w:val="fr-BE" w:eastAsia="fr-BE"/>
            </w:rPr>
          </w:pPr>
          <w:hyperlink w:anchor="_Toc159502617" w:history="1">
            <w:r w:rsidRPr="00B12A7C">
              <w:rPr>
                <w:rStyle w:val="Hyperlink"/>
                <w:noProof/>
              </w:rPr>
              <w:t>4.4.</w:t>
            </w:r>
            <w:r>
              <w:rPr>
                <w:rFonts w:eastAsiaTheme="minorEastAsia"/>
                <w:noProof/>
                <w:sz w:val="24"/>
                <w:szCs w:val="24"/>
                <w:lang w:val="fr-BE" w:eastAsia="fr-BE"/>
              </w:rPr>
              <w:tab/>
            </w:r>
            <w:r w:rsidRPr="00B12A7C">
              <w:rPr>
                <w:rStyle w:val="Hyperlink"/>
                <w:noProof/>
              </w:rPr>
              <w:t>Recovery of health systems and organisational challenges</w:t>
            </w:r>
            <w:r>
              <w:rPr>
                <w:noProof/>
                <w:webHidden/>
              </w:rPr>
              <w:tab/>
            </w:r>
            <w:r>
              <w:rPr>
                <w:noProof/>
                <w:webHidden/>
              </w:rPr>
              <w:fldChar w:fldCharType="begin"/>
            </w:r>
            <w:r>
              <w:rPr>
                <w:noProof/>
                <w:webHidden/>
              </w:rPr>
              <w:instrText xml:space="preserve"> PAGEREF _Toc159502617 \h </w:instrText>
            </w:r>
            <w:r>
              <w:rPr>
                <w:noProof/>
                <w:webHidden/>
              </w:rPr>
            </w:r>
            <w:r>
              <w:rPr>
                <w:noProof/>
                <w:webHidden/>
              </w:rPr>
              <w:fldChar w:fldCharType="separate"/>
            </w:r>
            <w:r>
              <w:rPr>
                <w:noProof/>
                <w:webHidden/>
              </w:rPr>
              <w:t>12</w:t>
            </w:r>
            <w:r>
              <w:rPr>
                <w:noProof/>
                <w:webHidden/>
              </w:rPr>
              <w:fldChar w:fldCharType="end"/>
            </w:r>
          </w:hyperlink>
        </w:p>
        <w:p w14:paraId="6218453C" w14:textId="17380FD3" w:rsidR="0029540D" w:rsidRDefault="0029540D">
          <w:pPr>
            <w:pStyle w:val="TOC1"/>
            <w:rPr>
              <w:rFonts w:eastAsiaTheme="minorEastAsia"/>
              <w:noProof/>
              <w:sz w:val="24"/>
              <w:szCs w:val="24"/>
              <w:lang w:val="fr-BE" w:eastAsia="fr-BE"/>
            </w:rPr>
          </w:pPr>
          <w:hyperlink w:anchor="_Toc159502618" w:history="1">
            <w:r w:rsidRPr="00B12A7C">
              <w:rPr>
                <w:rStyle w:val="Hyperlink"/>
                <w:noProof/>
              </w:rPr>
              <w:t>5.</w:t>
            </w:r>
            <w:r>
              <w:rPr>
                <w:rFonts w:eastAsiaTheme="minorEastAsia"/>
                <w:noProof/>
                <w:sz w:val="24"/>
                <w:szCs w:val="24"/>
                <w:lang w:val="fr-BE" w:eastAsia="fr-BE"/>
              </w:rPr>
              <w:tab/>
            </w:r>
            <w:r w:rsidRPr="00B12A7C">
              <w:rPr>
                <w:rStyle w:val="Hyperlink"/>
                <w:noProof/>
              </w:rPr>
              <w:t>Addressing the health and care workforce challenges</w:t>
            </w:r>
            <w:r>
              <w:rPr>
                <w:noProof/>
                <w:webHidden/>
              </w:rPr>
              <w:tab/>
            </w:r>
            <w:r>
              <w:rPr>
                <w:noProof/>
                <w:webHidden/>
              </w:rPr>
              <w:fldChar w:fldCharType="begin"/>
            </w:r>
            <w:r>
              <w:rPr>
                <w:noProof/>
                <w:webHidden/>
              </w:rPr>
              <w:instrText xml:space="preserve"> PAGEREF _Toc159502618 \h </w:instrText>
            </w:r>
            <w:r>
              <w:rPr>
                <w:noProof/>
                <w:webHidden/>
              </w:rPr>
            </w:r>
            <w:r>
              <w:rPr>
                <w:noProof/>
                <w:webHidden/>
              </w:rPr>
              <w:fldChar w:fldCharType="separate"/>
            </w:r>
            <w:r>
              <w:rPr>
                <w:noProof/>
                <w:webHidden/>
              </w:rPr>
              <w:t>14</w:t>
            </w:r>
            <w:r>
              <w:rPr>
                <w:noProof/>
                <w:webHidden/>
              </w:rPr>
              <w:fldChar w:fldCharType="end"/>
            </w:r>
          </w:hyperlink>
        </w:p>
        <w:p w14:paraId="5824EB7B" w14:textId="1431DF59" w:rsidR="0029540D" w:rsidRDefault="0029540D">
          <w:pPr>
            <w:pStyle w:val="TOC2"/>
            <w:rPr>
              <w:rFonts w:eastAsiaTheme="minorEastAsia"/>
              <w:noProof/>
              <w:sz w:val="24"/>
              <w:szCs w:val="24"/>
              <w:lang w:val="fr-BE" w:eastAsia="fr-BE"/>
            </w:rPr>
          </w:pPr>
          <w:hyperlink w:anchor="_Toc159502619" w:history="1">
            <w:r w:rsidRPr="00B12A7C">
              <w:rPr>
                <w:rStyle w:val="Hyperlink"/>
                <w:noProof/>
              </w:rPr>
              <w:t>5.1.</w:t>
            </w:r>
            <w:r>
              <w:rPr>
                <w:rFonts w:eastAsiaTheme="minorEastAsia"/>
                <w:noProof/>
                <w:sz w:val="24"/>
                <w:szCs w:val="24"/>
                <w:lang w:val="fr-BE" w:eastAsia="fr-BE"/>
              </w:rPr>
              <w:tab/>
            </w:r>
            <w:r w:rsidRPr="00B12A7C">
              <w:rPr>
                <w:rStyle w:val="Hyperlink"/>
                <w:noProof/>
              </w:rPr>
              <w:t>The need for stronger health and care workforce policies</w:t>
            </w:r>
            <w:r>
              <w:rPr>
                <w:noProof/>
                <w:webHidden/>
              </w:rPr>
              <w:tab/>
            </w:r>
            <w:r>
              <w:rPr>
                <w:noProof/>
                <w:webHidden/>
              </w:rPr>
              <w:fldChar w:fldCharType="begin"/>
            </w:r>
            <w:r>
              <w:rPr>
                <w:noProof/>
                <w:webHidden/>
              </w:rPr>
              <w:instrText xml:space="preserve"> PAGEREF _Toc159502619 \h </w:instrText>
            </w:r>
            <w:r>
              <w:rPr>
                <w:noProof/>
                <w:webHidden/>
              </w:rPr>
            </w:r>
            <w:r>
              <w:rPr>
                <w:noProof/>
                <w:webHidden/>
              </w:rPr>
              <w:fldChar w:fldCharType="separate"/>
            </w:r>
            <w:r>
              <w:rPr>
                <w:noProof/>
                <w:webHidden/>
              </w:rPr>
              <w:t>14</w:t>
            </w:r>
            <w:r>
              <w:rPr>
                <w:noProof/>
                <w:webHidden/>
              </w:rPr>
              <w:fldChar w:fldCharType="end"/>
            </w:r>
          </w:hyperlink>
        </w:p>
        <w:p w14:paraId="1B6AC1FA" w14:textId="68D4022B" w:rsidR="0029540D" w:rsidRDefault="0029540D">
          <w:pPr>
            <w:pStyle w:val="TOC3"/>
            <w:tabs>
              <w:tab w:val="left" w:pos="1440"/>
              <w:tab w:val="right" w:leader="dot" w:pos="9062"/>
            </w:tabs>
            <w:rPr>
              <w:rFonts w:eastAsiaTheme="minorEastAsia"/>
              <w:noProof/>
              <w:sz w:val="24"/>
              <w:szCs w:val="24"/>
              <w:lang w:val="fr-BE" w:eastAsia="fr-BE"/>
            </w:rPr>
          </w:pPr>
          <w:hyperlink w:anchor="_Toc159502620" w:history="1">
            <w:r w:rsidRPr="00B12A7C">
              <w:rPr>
                <w:rStyle w:val="Hyperlink"/>
                <w:noProof/>
              </w:rPr>
              <w:t>5.1.1.</w:t>
            </w:r>
            <w:r>
              <w:rPr>
                <w:rFonts w:eastAsiaTheme="minorEastAsia"/>
                <w:noProof/>
                <w:sz w:val="24"/>
                <w:szCs w:val="24"/>
                <w:lang w:val="fr-BE" w:eastAsia="fr-BE"/>
              </w:rPr>
              <w:tab/>
            </w:r>
            <w:r w:rsidRPr="00B12A7C">
              <w:rPr>
                <w:rStyle w:val="Hyperlink"/>
                <w:noProof/>
              </w:rPr>
              <w:t>Stronger governance and intersectoral approach</w:t>
            </w:r>
            <w:r>
              <w:rPr>
                <w:noProof/>
                <w:webHidden/>
              </w:rPr>
              <w:tab/>
            </w:r>
            <w:r>
              <w:rPr>
                <w:noProof/>
                <w:webHidden/>
              </w:rPr>
              <w:fldChar w:fldCharType="begin"/>
            </w:r>
            <w:r>
              <w:rPr>
                <w:noProof/>
                <w:webHidden/>
              </w:rPr>
              <w:instrText xml:space="preserve"> PAGEREF _Toc159502620 \h </w:instrText>
            </w:r>
            <w:r>
              <w:rPr>
                <w:noProof/>
                <w:webHidden/>
              </w:rPr>
            </w:r>
            <w:r>
              <w:rPr>
                <w:noProof/>
                <w:webHidden/>
              </w:rPr>
              <w:fldChar w:fldCharType="separate"/>
            </w:r>
            <w:r>
              <w:rPr>
                <w:noProof/>
                <w:webHidden/>
              </w:rPr>
              <w:t>14</w:t>
            </w:r>
            <w:r>
              <w:rPr>
                <w:noProof/>
                <w:webHidden/>
              </w:rPr>
              <w:fldChar w:fldCharType="end"/>
            </w:r>
          </w:hyperlink>
        </w:p>
        <w:p w14:paraId="69A043B3" w14:textId="4530BA4F" w:rsidR="0029540D" w:rsidRDefault="0029540D">
          <w:pPr>
            <w:pStyle w:val="TOC3"/>
            <w:tabs>
              <w:tab w:val="left" w:pos="1440"/>
              <w:tab w:val="right" w:leader="dot" w:pos="9062"/>
            </w:tabs>
            <w:rPr>
              <w:rFonts w:eastAsiaTheme="minorEastAsia"/>
              <w:noProof/>
              <w:sz w:val="24"/>
              <w:szCs w:val="24"/>
              <w:lang w:val="fr-BE" w:eastAsia="fr-BE"/>
            </w:rPr>
          </w:pPr>
          <w:hyperlink w:anchor="_Toc159502621" w:history="1">
            <w:r w:rsidRPr="00B12A7C">
              <w:rPr>
                <w:rStyle w:val="Hyperlink"/>
                <w:noProof/>
              </w:rPr>
              <w:t>5.1.2.</w:t>
            </w:r>
            <w:r>
              <w:rPr>
                <w:rFonts w:eastAsiaTheme="minorEastAsia"/>
                <w:noProof/>
                <w:sz w:val="24"/>
                <w:szCs w:val="24"/>
                <w:lang w:val="fr-BE" w:eastAsia="fr-BE"/>
              </w:rPr>
              <w:tab/>
            </w:r>
            <w:r w:rsidRPr="00B12A7C">
              <w:rPr>
                <w:rStyle w:val="Hyperlink"/>
                <w:noProof/>
              </w:rPr>
              <w:t>The need for public investments</w:t>
            </w:r>
            <w:r>
              <w:rPr>
                <w:noProof/>
                <w:webHidden/>
              </w:rPr>
              <w:tab/>
            </w:r>
            <w:r>
              <w:rPr>
                <w:noProof/>
                <w:webHidden/>
              </w:rPr>
              <w:fldChar w:fldCharType="begin"/>
            </w:r>
            <w:r>
              <w:rPr>
                <w:noProof/>
                <w:webHidden/>
              </w:rPr>
              <w:instrText xml:space="preserve"> PAGEREF _Toc159502621 \h </w:instrText>
            </w:r>
            <w:r>
              <w:rPr>
                <w:noProof/>
                <w:webHidden/>
              </w:rPr>
            </w:r>
            <w:r>
              <w:rPr>
                <w:noProof/>
                <w:webHidden/>
              </w:rPr>
              <w:fldChar w:fldCharType="separate"/>
            </w:r>
            <w:r>
              <w:rPr>
                <w:noProof/>
                <w:webHidden/>
              </w:rPr>
              <w:t>15</w:t>
            </w:r>
            <w:r>
              <w:rPr>
                <w:noProof/>
                <w:webHidden/>
              </w:rPr>
              <w:fldChar w:fldCharType="end"/>
            </w:r>
          </w:hyperlink>
        </w:p>
        <w:p w14:paraId="4452067D" w14:textId="2619A529" w:rsidR="0029540D" w:rsidRDefault="0029540D">
          <w:pPr>
            <w:pStyle w:val="TOC2"/>
            <w:rPr>
              <w:rFonts w:eastAsiaTheme="minorEastAsia"/>
              <w:noProof/>
              <w:sz w:val="24"/>
              <w:szCs w:val="24"/>
              <w:lang w:val="fr-BE" w:eastAsia="fr-BE"/>
            </w:rPr>
          </w:pPr>
          <w:hyperlink w:anchor="_Toc159502622" w:history="1">
            <w:r w:rsidRPr="00B12A7C">
              <w:rPr>
                <w:rStyle w:val="Hyperlink"/>
                <w:noProof/>
              </w:rPr>
              <w:t>5.2.</w:t>
            </w:r>
            <w:r>
              <w:rPr>
                <w:rFonts w:eastAsiaTheme="minorEastAsia"/>
                <w:noProof/>
                <w:sz w:val="24"/>
                <w:szCs w:val="24"/>
                <w:lang w:val="fr-BE" w:eastAsia="fr-BE"/>
              </w:rPr>
              <w:tab/>
            </w:r>
            <w:r w:rsidRPr="00B12A7C">
              <w:rPr>
                <w:rStyle w:val="Hyperlink"/>
                <w:noProof/>
              </w:rPr>
              <w:t>Reinforcing primary care</w:t>
            </w:r>
            <w:r>
              <w:rPr>
                <w:noProof/>
                <w:webHidden/>
              </w:rPr>
              <w:tab/>
            </w:r>
            <w:r>
              <w:rPr>
                <w:noProof/>
                <w:webHidden/>
              </w:rPr>
              <w:fldChar w:fldCharType="begin"/>
            </w:r>
            <w:r>
              <w:rPr>
                <w:noProof/>
                <w:webHidden/>
              </w:rPr>
              <w:instrText xml:space="preserve"> PAGEREF _Toc159502622 \h </w:instrText>
            </w:r>
            <w:r>
              <w:rPr>
                <w:noProof/>
                <w:webHidden/>
              </w:rPr>
            </w:r>
            <w:r>
              <w:rPr>
                <w:noProof/>
                <w:webHidden/>
              </w:rPr>
              <w:fldChar w:fldCharType="separate"/>
            </w:r>
            <w:r>
              <w:rPr>
                <w:noProof/>
                <w:webHidden/>
              </w:rPr>
              <w:t>16</w:t>
            </w:r>
            <w:r>
              <w:rPr>
                <w:noProof/>
                <w:webHidden/>
              </w:rPr>
              <w:fldChar w:fldCharType="end"/>
            </w:r>
          </w:hyperlink>
        </w:p>
        <w:p w14:paraId="19CFC8CC" w14:textId="4C0CC58E" w:rsidR="0029540D" w:rsidRDefault="0029540D">
          <w:pPr>
            <w:pStyle w:val="TOC1"/>
            <w:rPr>
              <w:rFonts w:eastAsiaTheme="minorEastAsia"/>
              <w:noProof/>
              <w:sz w:val="24"/>
              <w:szCs w:val="24"/>
              <w:lang w:val="fr-BE" w:eastAsia="fr-BE"/>
            </w:rPr>
          </w:pPr>
          <w:hyperlink w:anchor="_Toc159502623" w:history="1">
            <w:r w:rsidRPr="00B12A7C">
              <w:rPr>
                <w:rStyle w:val="Hyperlink"/>
                <w:noProof/>
              </w:rPr>
              <w:t>6.</w:t>
            </w:r>
            <w:r>
              <w:rPr>
                <w:rFonts w:eastAsiaTheme="minorEastAsia"/>
                <w:noProof/>
                <w:sz w:val="24"/>
                <w:szCs w:val="24"/>
                <w:lang w:val="fr-BE" w:eastAsia="fr-BE"/>
              </w:rPr>
              <w:tab/>
            </w:r>
            <w:r w:rsidRPr="00B12A7C">
              <w:rPr>
                <w:rStyle w:val="Hyperlink"/>
                <w:noProof/>
              </w:rPr>
              <w:t>Recommendations from EPHA and its members</w:t>
            </w:r>
            <w:r>
              <w:rPr>
                <w:noProof/>
                <w:webHidden/>
              </w:rPr>
              <w:tab/>
            </w:r>
            <w:r>
              <w:rPr>
                <w:noProof/>
                <w:webHidden/>
              </w:rPr>
              <w:fldChar w:fldCharType="begin"/>
            </w:r>
            <w:r>
              <w:rPr>
                <w:noProof/>
                <w:webHidden/>
              </w:rPr>
              <w:instrText xml:space="preserve"> PAGEREF _Toc159502623 \h </w:instrText>
            </w:r>
            <w:r>
              <w:rPr>
                <w:noProof/>
                <w:webHidden/>
              </w:rPr>
            </w:r>
            <w:r>
              <w:rPr>
                <w:noProof/>
                <w:webHidden/>
              </w:rPr>
              <w:fldChar w:fldCharType="separate"/>
            </w:r>
            <w:r>
              <w:rPr>
                <w:noProof/>
                <w:webHidden/>
              </w:rPr>
              <w:t>18</w:t>
            </w:r>
            <w:r>
              <w:rPr>
                <w:noProof/>
                <w:webHidden/>
              </w:rPr>
              <w:fldChar w:fldCharType="end"/>
            </w:r>
          </w:hyperlink>
        </w:p>
        <w:p w14:paraId="5356F65A" w14:textId="75A48ACD" w:rsidR="0029540D" w:rsidRDefault="0029540D">
          <w:pPr>
            <w:pStyle w:val="TOC2"/>
            <w:rPr>
              <w:rFonts w:eastAsiaTheme="minorEastAsia"/>
              <w:noProof/>
              <w:sz w:val="24"/>
              <w:szCs w:val="24"/>
              <w:lang w:val="fr-BE" w:eastAsia="fr-BE"/>
            </w:rPr>
          </w:pPr>
          <w:hyperlink w:anchor="_Toc159502624" w:history="1">
            <w:r w:rsidRPr="00B12A7C">
              <w:rPr>
                <w:rStyle w:val="Hyperlink"/>
                <w:noProof/>
              </w:rPr>
              <w:t>6.1.</w:t>
            </w:r>
            <w:r>
              <w:rPr>
                <w:rFonts w:eastAsiaTheme="minorEastAsia"/>
                <w:noProof/>
                <w:sz w:val="24"/>
                <w:szCs w:val="24"/>
                <w:lang w:val="fr-BE" w:eastAsia="fr-BE"/>
              </w:rPr>
              <w:tab/>
            </w:r>
            <w:r w:rsidRPr="00B12A7C">
              <w:rPr>
                <w:rStyle w:val="Hyperlink"/>
                <w:noProof/>
              </w:rPr>
              <w:t>Recommendations for EU policymakers</w:t>
            </w:r>
            <w:r>
              <w:rPr>
                <w:noProof/>
                <w:webHidden/>
              </w:rPr>
              <w:tab/>
            </w:r>
            <w:r>
              <w:rPr>
                <w:noProof/>
                <w:webHidden/>
              </w:rPr>
              <w:fldChar w:fldCharType="begin"/>
            </w:r>
            <w:r>
              <w:rPr>
                <w:noProof/>
                <w:webHidden/>
              </w:rPr>
              <w:instrText xml:space="preserve"> PAGEREF _Toc159502624 \h </w:instrText>
            </w:r>
            <w:r>
              <w:rPr>
                <w:noProof/>
                <w:webHidden/>
              </w:rPr>
            </w:r>
            <w:r>
              <w:rPr>
                <w:noProof/>
                <w:webHidden/>
              </w:rPr>
              <w:fldChar w:fldCharType="separate"/>
            </w:r>
            <w:r>
              <w:rPr>
                <w:noProof/>
                <w:webHidden/>
              </w:rPr>
              <w:t>18</w:t>
            </w:r>
            <w:r>
              <w:rPr>
                <w:noProof/>
                <w:webHidden/>
              </w:rPr>
              <w:fldChar w:fldCharType="end"/>
            </w:r>
          </w:hyperlink>
        </w:p>
        <w:p w14:paraId="4A35B608" w14:textId="7D72F51E" w:rsidR="0029540D" w:rsidRDefault="0029540D">
          <w:pPr>
            <w:pStyle w:val="TOC2"/>
            <w:rPr>
              <w:rFonts w:eastAsiaTheme="minorEastAsia"/>
              <w:noProof/>
              <w:sz w:val="24"/>
              <w:szCs w:val="24"/>
              <w:lang w:val="fr-BE" w:eastAsia="fr-BE"/>
            </w:rPr>
          </w:pPr>
          <w:hyperlink w:anchor="_Toc159502625" w:history="1">
            <w:r w:rsidRPr="00B12A7C">
              <w:rPr>
                <w:rStyle w:val="Hyperlink"/>
                <w:noProof/>
              </w:rPr>
              <w:t>6.2.</w:t>
            </w:r>
            <w:r>
              <w:rPr>
                <w:rFonts w:eastAsiaTheme="minorEastAsia"/>
                <w:noProof/>
                <w:sz w:val="24"/>
                <w:szCs w:val="24"/>
                <w:lang w:val="fr-BE" w:eastAsia="fr-BE"/>
              </w:rPr>
              <w:tab/>
            </w:r>
            <w:r w:rsidRPr="00B12A7C">
              <w:rPr>
                <w:rStyle w:val="Hyperlink"/>
                <w:noProof/>
              </w:rPr>
              <w:t>Recommendations for national policymakers</w:t>
            </w:r>
            <w:r>
              <w:rPr>
                <w:noProof/>
                <w:webHidden/>
              </w:rPr>
              <w:tab/>
            </w:r>
            <w:r>
              <w:rPr>
                <w:noProof/>
                <w:webHidden/>
              </w:rPr>
              <w:fldChar w:fldCharType="begin"/>
            </w:r>
            <w:r>
              <w:rPr>
                <w:noProof/>
                <w:webHidden/>
              </w:rPr>
              <w:instrText xml:space="preserve"> PAGEREF _Toc159502625 \h </w:instrText>
            </w:r>
            <w:r>
              <w:rPr>
                <w:noProof/>
                <w:webHidden/>
              </w:rPr>
            </w:r>
            <w:r>
              <w:rPr>
                <w:noProof/>
                <w:webHidden/>
              </w:rPr>
              <w:fldChar w:fldCharType="separate"/>
            </w:r>
            <w:r>
              <w:rPr>
                <w:noProof/>
                <w:webHidden/>
              </w:rPr>
              <w:t>19</w:t>
            </w:r>
            <w:r>
              <w:rPr>
                <w:noProof/>
                <w:webHidden/>
              </w:rPr>
              <w:fldChar w:fldCharType="end"/>
            </w:r>
          </w:hyperlink>
        </w:p>
        <w:p w14:paraId="09953ADC" w14:textId="58B3CA7E" w:rsidR="0029540D" w:rsidRDefault="0029540D">
          <w:pPr>
            <w:pStyle w:val="TOC2"/>
            <w:rPr>
              <w:rFonts w:eastAsiaTheme="minorEastAsia"/>
              <w:noProof/>
              <w:sz w:val="24"/>
              <w:szCs w:val="24"/>
              <w:lang w:val="fr-BE" w:eastAsia="fr-BE"/>
            </w:rPr>
          </w:pPr>
          <w:hyperlink w:anchor="_Toc159502626" w:history="1">
            <w:r w:rsidRPr="00B12A7C">
              <w:rPr>
                <w:rStyle w:val="Hyperlink"/>
                <w:noProof/>
              </w:rPr>
              <w:t>6.3.</w:t>
            </w:r>
            <w:r>
              <w:rPr>
                <w:rFonts w:eastAsiaTheme="minorEastAsia"/>
                <w:noProof/>
                <w:sz w:val="24"/>
                <w:szCs w:val="24"/>
                <w:lang w:val="fr-BE" w:eastAsia="fr-BE"/>
              </w:rPr>
              <w:tab/>
            </w:r>
            <w:r w:rsidRPr="00B12A7C">
              <w:rPr>
                <w:rStyle w:val="Hyperlink"/>
                <w:noProof/>
              </w:rPr>
              <w:t>Recommendations for other stakeholders</w:t>
            </w:r>
            <w:r>
              <w:rPr>
                <w:noProof/>
                <w:webHidden/>
              </w:rPr>
              <w:tab/>
            </w:r>
            <w:r>
              <w:rPr>
                <w:noProof/>
                <w:webHidden/>
              </w:rPr>
              <w:fldChar w:fldCharType="begin"/>
            </w:r>
            <w:r>
              <w:rPr>
                <w:noProof/>
                <w:webHidden/>
              </w:rPr>
              <w:instrText xml:space="preserve"> PAGEREF _Toc159502626 \h </w:instrText>
            </w:r>
            <w:r>
              <w:rPr>
                <w:noProof/>
                <w:webHidden/>
              </w:rPr>
            </w:r>
            <w:r>
              <w:rPr>
                <w:noProof/>
                <w:webHidden/>
              </w:rPr>
              <w:fldChar w:fldCharType="separate"/>
            </w:r>
            <w:r>
              <w:rPr>
                <w:noProof/>
                <w:webHidden/>
              </w:rPr>
              <w:t>20</w:t>
            </w:r>
            <w:r>
              <w:rPr>
                <w:noProof/>
                <w:webHidden/>
              </w:rPr>
              <w:fldChar w:fldCharType="end"/>
            </w:r>
          </w:hyperlink>
        </w:p>
        <w:p w14:paraId="3CFFB741" w14:textId="069F25D6" w:rsidR="0029540D" w:rsidRDefault="0029540D">
          <w:pPr>
            <w:pStyle w:val="TOC1"/>
            <w:rPr>
              <w:rFonts w:eastAsiaTheme="minorEastAsia"/>
              <w:noProof/>
              <w:sz w:val="24"/>
              <w:szCs w:val="24"/>
              <w:lang w:val="fr-BE" w:eastAsia="fr-BE"/>
            </w:rPr>
          </w:pPr>
          <w:hyperlink w:anchor="_Toc159502627" w:history="1">
            <w:r w:rsidRPr="00B12A7C">
              <w:rPr>
                <w:rStyle w:val="Hyperlink"/>
                <w:noProof/>
              </w:rPr>
              <w:t>7.</w:t>
            </w:r>
            <w:r>
              <w:rPr>
                <w:rFonts w:eastAsiaTheme="minorEastAsia"/>
                <w:noProof/>
                <w:sz w:val="24"/>
                <w:szCs w:val="24"/>
                <w:lang w:val="fr-BE" w:eastAsia="fr-BE"/>
              </w:rPr>
              <w:tab/>
            </w:r>
            <w:r w:rsidRPr="00B12A7C">
              <w:rPr>
                <w:rStyle w:val="Hyperlink"/>
                <w:noProof/>
              </w:rPr>
              <w:t>Sources</w:t>
            </w:r>
            <w:r>
              <w:rPr>
                <w:noProof/>
                <w:webHidden/>
              </w:rPr>
              <w:tab/>
            </w:r>
            <w:r>
              <w:rPr>
                <w:noProof/>
                <w:webHidden/>
              </w:rPr>
              <w:fldChar w:fldCharType="begin"/>
            </w:r>
            <w:r>
              <w:rPr>
                <w:noProof/>
                <w:webHidden/>
              </w:rPr>
              <w:instrText xml:space="preserve"> PAGEREF _Toc159502627 \h </w:instrText>
            </w:r>
            <w:r>
              <w:rPr>
                <w:noProof/>
                <w:webHidden/>
              </w:rPr>
            </w:r>
            <w:r>
              <w:rPr>
                <w:noProof/>
                <w:webHidden/>
              </w:rPr>
              <w:fldChar w:fldCharType="separate"/>
            </w:r>
            <w:r>
              <w:rPr>
                <w:noProof/>
                <w:webHidden/>
              </w:rPr>
              <w:t>21</w:t>
            </w:r>
            <w:r>
              <w:rPr>
                <w:noProof/>
                <w:webHidden/>
              </w:rPr>
              <w:fldChar w:fldCharType="end"/>
            </w:r>
          </w:hyperlink>
        </w:p>
        <w:p w14:paraId="121A3FDD" w14:textId="39260E55" w:rsidR="0065061B" w:rsidRDefault="0065061B">
          <w:r>
            <w:rPr>
              <w:b/>
              <w:bCs/>
              <w:noProof/>
            </w:rPr>
            <w:fldChar w:fldCharType="end"/>
          </w:r>
        </w:p>
      </w:sdtContent>
    </w:sdt>
    <w:p w14:paraId="39C6B10C" w14:textId="77777777" w:rsidR="002A34BB" w:rsidRDefault="002A34BB">
      <w:pPr>
        <w:spacing w:before="0" w:after="160"/>
        <w:rPr>
          <w:rFonts w:asciiTheme="majorHAnsi" w:eastAsiaTheme="majorEastAsia" w:hAnsiTheme="majorHAnsi" w:cstheme="majorBidi"/>
          <w:color w:val="2F5496" w:themeColor="accent1" w:themeShade="BF"/>
          <w:sz w:val="32"/>
          <w:szCs w:val="32"/>
        </w:rPr>
      </w:pPr>
      <w:r>
        <w:br w:type="page"/>
      </w:r>
    </w:p>
    <w:p w14:paraId="0A48BD96" w14:textId="025CB635" w:rsidR="004B4D3C" w:rsidRPr="00AB4C30" w:rsidRDefault="004B4D3C" w:rsidP="006138B8">
      <w:pPr>
        <w:pStyle w:val="Heading1"/>
        <w:numPr>
          <w:ilvl w:val="0"/>
          <w:numId w:val="11"/>
        </w:numPr>
        <w:jc w:val="both"/>
      </w:pPr>
      <w:bookmarkStart w:id="0" w:name="_Toc159502610"/>
      <w:r w:rsidRPr="00AB4C30">
        <w:t>Executive Summary</w:t>
      </w:r>
      <w:bookmarkEnd w:id="0"/>
    </w:p>
    <w:p w14:paraId="61B8940B" w14:textId="0BE6C675" w:rsidR="003D41A0" w:rsidRPr="008349E8" w:rsidRDefault="0031452D" w:rsidP="008349E8">
      <w:pPr>
        <w:jc w:val="both"/>
        <w:rPr>
          <w:iCs/>
        </w:rPr>
      </w:pPr>
      <w:r w:rsidRPr="008349E8">
        <w:rPr>
          <w:iCs/>
        </w:rPr>
        <w:t xml:space="preserve">This paper </w:t>
      </w:r>
      <w:r w:rsidR="008349E8" w:rsidRPr="008349E8">
        <w:rPr>
          <w:iCs/>
        </w:rPr>
        <w:t>was written in collaboration and in consultation with EPHA members, gathering representatives of different professions in the health and care workforce</w:t>
      </w:r>
      <w:r w:rsidR="008349E8">
        <w:rPr>
          <w:iCs/>
        </w:rPr>
        <w:t>, and public health organisations.</w:t>
      </w:r>
    </w:p>
    <w:p w14:paraId="39A13571" w14:textId="768FF9B3" w:rsidR="00B73835" w:rsidRDefault="0BA53543" w:rsidP="1F6F06D5">
      <w:pPr>
        <w:jc w:val="both"/>
        <w:rPr>
          <w:i/>
          <w:iCs/>
        </w:rPr>
      </w:pPr>
      <w:r>
        <w:t xml:space="preserve">The paper provides an overview of the challenges </w:t>
      </w:r>
      <w:r w:rsidR="1B4FEDD2">
        <w:t>faced by the health and care workforce, especially in the aftermath of the COVID-19 pandemic</w:t>
      </w:r>
      <w:r w:rsidR="4B5CAF5C">
        <w:t xml:space="preserve">. </w:t>
      </w:r>
      <w:r w:rsidR="5E4A6EC2">
        <w:t xml:space="preserve">These </w:t>
      </w:r>
      <w:r w:rsidR="4B5CAF5C">
        <w:t xml:space="preserve">include </w:t>
      </w:r>
      <w:r w:rsidR="7AD2B695">
        <w:t>significant shortages of workers across the European Region and across professions within the workforce, but also evolving skills requirements and needs due</w:t>
      </w:r>
      <w:r w:rsidR="39FF5FCA">
        <w:t>, for example, to climate change and digitalisation. Growing issues regarding the working conditions</w:t>
      </w:r>
      <w:r w:rsidR="01B3C1C6">
        <w:t>, leading to difficulties with staff retention</w:t>
      </w:r>
      <w:r w:rsidR="1CCB9EC4">
        <w:t>, are also presented</w:t>
      </w:r>
      <w:r w:rsidR="01B3C1C6">
        <w:t>. The paper then focuses on how to address these challenges with a cross-sectoral approach</w:t>
      </w:r>
      <w:r w:rsidR="1F6D3842">
        <w:t xml:space="preserve">, </w:t>
      </w:r>
      <w:r w:rsidR="01B3C1C6">
        <w:t xml:space="preserve">stronger political </w:t>
      </w:r>
      <w:proofErr w:type="gramStart"/>
      <w:r w:rsidR="01B3C1C6">
        <w:t>governance</w:t>
      </w:r>
      <w:proofErr w:type="gramEnd"/>
      <w:r w:rsidR="1F6D3842">
        <w:t xml:space="preserve"> and improved funding.</w:t>
      </w:r>
    </w:p>
    <w:p w14:paraId="0DBA3A56" w14:textId="285B0F1D" w:rsidR="002F27D7" w:rsidRPr="002F27D7" w:rsidRDefault="0ED219B0" w:rsidP="002F27D7">
      <w:pPr>
        <w:jc w:val="both"/>
      </w:pPr>
      <w:r>
        <w:t xml:space="preserve">The paper gathers key recommendations for the EU, the Member </w:t>
      </w:r>
      <w:proofErr w:type="gramStart"/>
      <w:r>
        <w:t>States</w:t>
      </w:r>
      <w:proofErr w:type="gramEnd"/>
      <w:r>
        <w:t xml:space="preserve"> and key stakeholders in the sector. These recommendations include</w:t>
      </w:r>
      <w:r w:rsidR="349B78E6">
        <w:t xml:space="preserve"> elements on addressing shortages, </w:t>
      </w:r>
      <w:proofErr w:type="gramStart"/>
      <w:r w:rsidR="349B78E6">
        <w:t>improving</w:t>
      </w:r>
      <w:proofErr w:type="gramEnd"/>
      <w:r w:rsidR="349B78E6">
        <w:t xml:space="preserve"> and adapting training to the new realities of the sector, but also skills recognition and </w:t>
      </w:r>
      <w:r w:rsidR="00626B71">
        <w:t>improving</w:t>
      </w:r>
      <w:r w:rsidR="5949B4A6">
        <w:t xml:space="preserve"> </w:t>
      </w:r>
      <w:r w:rsidR="349B78E6">
        <w:t xml:space="preserve">working conditions. </w:t>
      </w:r>
      <w:r>
        <w:t>The full list of recommendations is available in section 6.</w:t>
      </w:r>
    </w:p>
    <w:p w14:paraId="420E3B7B" w14:textId="77777777" w:rsidR="002A34BB" w:rsidRDefault="002A34BB">
      <w:pPr>
        <w:spacing w:before="0" w:after="160"/>
        <w:rPr>
          <w:rFonts w:asciiTheme="majorHAnsi" w:eastAsiaTheme="majorEastAsia" w:hAnsiTheme="majorHAnsi" w:cstheme="majorBidi"/>
          <w:color w:val="2F5496" w:themeColor="accent1" w:themeShade="BF"/>
          <w:sz w:val="32"/>
          <w:szCs w:val="32"/>
        </w:rPr>
      </w:pPr>
      <w:r>
        <w:br w:type="page"/>
      </w:r>
    </w:p>
    <w:p w14:paraId="59ADF7E9" w14:textId="519451AD" w:rsidR="00CF342D" w:rsidRPr="00AB4C30" w:rsidRDefault="00CF342D" w:rsidP="00EA6F38">
      <w:pPr>
        <w:pStyle w:val="Heading1"/>
        <w:numPr>
          <w:ilvl w:val="0"/>
          <w:numId w:val="11"/>
        </w:numPr>
        <w:ind w:left="714" w:hanging="357"/>
        <w:jc w:val="both"/>
      </w:pPr>
      <w:bookmarkStart w:id="1" w:name="_Toc159502611"/>
      <w:r w:rsidRPr="00AB4C30">
        <w:t>Context</w:t>
      </w:r>
      <w:bookmarkEnd w:id="1"/>
    </w:p>
    <w:p w14:paraId="5B6F5462" w14:textId="74DA5C4C" w:rsidR="001F6BDE" w:rsidRPr="00745922" w:rsidRDefault="43216C30" w:rsidP="00EA6F38">
      <w:pPr>
        <w:jc w:val="both"/>
        <w:rPr>
          <w:rFonts w:eastAsiaTheme="minorEastAsia"/>
        </w:rPr>
      </w:pPr>
      <w:r w:rsidRPr="1F6F06D5">
        <w:rPr>
          <w:rFonts w:eastAsiaTheme="minorEastAsia"/>
        </w:rPr>
        <w:t xml:space="preserve">A healthy and </w:t>
      </w:r>
      <w:r w:rsidR="48FA6BD8" w:rsidRPr="1F6F06D5">
        <w:rPr>
          <w:rFonts w:eastAsiaTheme="minorEastAsia"/>
        </w:rPr>
        <w:t>robust</w:t>
      </w:r>
      <w:r w:rsidRPr="1F6F06D5">
        <w:rPr>
          <w:rFonts w:eastAsiaTheme="minorEastAsia"/>
        </w:rPr>
        <w:t xml:space="preserve"> health</w:t>
      </w:r>
      <w:r w:rsidR="0D444455" w:rsidRPr="1F6F06D5">
        <w:rPr>
          <w:rFonts w:eastAsiaTheme="minorEastAsia"/>
        </w:rPr>
        <w:t xml:space="preserve"> and </w:t>
      </w:r>
      <w:r w:rsidRPr="1F6F06D5">
        <w:rPr>
          <w:rFonts w:eastAsiaTheme="minorEastAsia"/>
        </w:rPr>
        <w:t>care workforce is an essential factor for resilient health systems. However, the health</w:t>
      </w:r>
      <w:r w:rsidR="0D444455" w:rsidRPr="1F6F06D5">
        <w:rPr>
          <w:rFonts w:eastAsiaTheme="minorEastAsia"/>
        </w:rPr>
        <w:t xml:space="preserve"> and </w:t>
      </w:r>
      <w:r w:rsidRPr="1F6F06D5">
        <w:rPr>
          <w:rFonts w:eastAsiaTheme="minorEastAsia"/>
        </w:rPr>
        <w:t xml:space="preserve">care workforce has long been facing many challenges, which have been exposed, </w:t>
      </w:r>
      <w:proofErr w:type="gramStart"/>
      <w:r w:rsidRPr="1F6F06D5">
        <w:rPr>
          <w:rFonts w:eastAsiaTheme="minorEastAsia"/>
        </w:rPr>
        <w:t>reinforced</w:t>
      </w:r>
      <w:proofErr w:type="gramEnd"/>
      <w:r w:rsidRPr="1F6F06D5">
        <w:rPr>
          <w:rFonts w:eastAsiaTheme="minorEastAsia"/>
        </w:rPr>
        <w:t xml:space="preserve"> or even worsened by the COVID-19 pandemic. Worryingly, these are only expected to </w:t>
      </w:r>
      <w:r w:rsidR="00F22A1F" w:rsidRPr="1F6F06D5">
        <w:rPr>
          <w:rFonts w:eastAsiaTheme="minorEastAsia"/>
        </w:rPr>
        <w:t>worsen</w:t>
      </w:r>
      <w:r w:rsidR="34FAE9A0" w:rsidRPr="1F6F06D5">
        <w:rPr>
          <w:rFonts w:eastAsiaTheme="minorEastAsia"/>
        </w:rPr>
        <w:t xml:space="preserve"> </w:t>
      </w:r>
      <w:r w:rsidRPr="1F6F06D5">
        <w:rPr>
          <w:rFonts w:eastAsiaTheme="minorEastAsia"/>
        </w:rPr>
        <w:t>in the coming years given the ageing populations and an increasing demand for care. As indicated in the Bucharest Declaration, challenges include “shortages, uneven distribution, mismatches in skill-mix, insufficiencies in developing skills to meet evolving health and care needs and new digital and other technologies”.</w:t>
      </w:r>
      <w:r w:rsidR="4E6BE6C8" w:rsidRPr="1F6F06D5">
        <w:rPr>
          <w:rStyle w:val="FootnoteReference"/>
          <w:rFonts w:eastAsiaTheme="minorEastAsia"/>
        </w:rPr>
        <w:footnoteReference w:id="2"/>
      </w:r>
      <w:r w:rsidRPr="1F6F06D5">
        <w:rPr>
          <w:rFonts w:eastAsiaTheme="minorEastAsia"/>
        </w:rPr>
        <w:t xml:space="preserve"> As the population is ageing,</w:t>
      </w:r>
      <w:r w:rsidR="2EEB5233" w:rsidRPr="1F6F06D5">
        <w:rPr>
          <w:rFonts w:eastAsiaTheme="minorEastAsia"/>
        </w:rPr>
        <w:t xml:space="preserve"> so is</w:t>
      </w:r>
      <w:r w:rsidRPr="1F6F06D5">
        <w:rPr>
          <w:rFonts w:eastAsiaTheme="minorEastAsia"/>
        </w:rPr>
        <w:t xml:space="preserve"> the workforce, </w:t>
      </w:r>
      <w:r w:rsidR="002F50F7">
        <w:rPr>
          <w:rFonts w:eastAsiaTheme="minorEastAsia"/>
        </w:rPr>
        <w:t xml:space="preserve">who is </w:t>
      </w:r>
      <w:r w:rsidRPr="1F6F06D5">
        <w:rPr>
          <w:rFonts w:eastAsiaTheme="minorEastAsia"/>
        </w:rPr>
        <w:t xml:space="preserve">facing a changing labour market characterised by worker mobility and migration, while issues with staff retention </w:t>
      </w:r>
      <w:r w:rsidR="133CD4D7" w:rsidRPr="1F6F06D5">
        <w:rPr>
          <w:rFonts w:eastAsiaTheme="minorEastAsia"/>
        </w:rPr>
        <w:t xml:space="preserve">and recruitment </w:t>
      </w:r>
      <w:r w:rsidRPr="1F6F06D5">
        <w:rPr>
          <w:rFonts w:eastAsiaTheme="minorEastAsia"/>
        </w:rPr>
        <w:t>are also observed. Simultaneously, working conditions are deteriorating. The mental and physical health and well</w:t>
      </w:r>
      <w:r w:rsidR="379EC094" w:rsidRPr="1F6F06D5">
        <w:rPr>
          <w:rFonts w:eastAsiaTheme="minorEastAsia"/>
        </w:rPr>
        <w:t>-</w:t>
      </w:r>
      <w:r w:rsidRPr="1F6F06D5">
        <w:rPr>
          <w:rFonts w:eastAsiaTheme="minorEastAsia"/>
        </w:rPr>
        <w:t>being of health</w:t>
      </w:r>
      <w:r w:rsidR="5B6FD7C4" w:rsidRPr="1F6F06D5">
        <w:rPr>
          <w:rFonts w:eastAsiaTheme="minorEastAsia"/>
        </w:rPr>
        <w:t xml:space="preserve"> and </w:t>
      </w:r>
      <w:r w:rsidRPr="1F6F06D5">
        <w:rPr>
          <w:rFonts w:eastAsiaTheme="minorEastAsia"/>
        </w:rPr>
        <w:t>care workers ha</w:t>
      </w:r>
      <w:r w:rsidR="003059D5">
        <w:rPr>
          <w:rFonts w:eastAsiaTheme="minorEastAsia"/>
        </w:rPr>
        <w:t>ve</w:t>
      </w:r>
      <w:r w:rsidRPr="1F6F06D5">
        <w:rPr>
          <w:rFonts w:eastAsiaTheme="minorEastAsia"/>
        </w:rPr>
        <w:t xml:space="preserve"> been heavily impacted, especially during the COVID-19 pandemic, between stress, burnout or even violence.</w:t>
      </w:r>
      <w:r w:rsidR="467AD0DD" w:rsidRPr="1F6F06D5">
        <w:rPr>
          <w:rStyle w:val="FootnoteReference"/>
          <w:rFonts w:eastAsiaTheme="minorEastAsia"/>
        </w:rPr>
        <w:footnoteReference w:id="3"/>
      </w:r>
      <w:r w:rsidRPr="1F6F06D5">
        <w:rPr>
          <w:rFonts w:eastAsiaTheme="minorEastAsia"/>
          <w:vertAlign w:val="superscript"/>
        </w:rPr>
        <w:t xml:space="preserve"> </w:t>
      </w:r>
      <w:r w:rsidRPr="1F6F06D5">
        <w:rPr>
          <w:rFonts w:eastAsiaTheme="minorEastAsia"/>
        </w:rPr>
        <w:t xml:space="preserve">The workforce is further impacted by the recovery of health systems following the </w:t>
      </w:r>
      <w:r w:rsidR="767B5872" w:rsidRPr="1F6F06D5">
        <w:rPr>
          <w:rFonts w:eastAsiaTheme="minorEastAsia"/>
        </w:rPr>
        <w:t xml:space="preserve">COVID-19 </w:t>
      </w:r>
      <w:r w:rsidRPr="1F6F06D5">
        <w:rPr>
          <w:rFonts w:eastAsiaTheme="minorEastAsia"/>
        </w:rPr>
        <w:t xml:space="preserve">pandemic, slowed down by the current permacrisis context. In addition, EU health systems are currently facing several </w:t>
      </w:r>
      <w:r w:rsidR="00FB475E" w:rsidRPr="1F6F06D5">
        <w:rPr>
          <w:rFonts w:eastAsiaTheme="minorEastAsia"/>
        </w:rPr>
        <w:t>other challenges</w:t>
      </w:r>
      <w:r w:rsidRPr="1F6F06D5">
        <w:rPr>
          <w:rFonts w:eastAsiaTheme="minorEastAsia"/>
        </w:rPr>
        <w:t xml:space="preserve">, such as growing shortages of medicines, rising health and care costs, or an increasing individualisation of care. </w:t>
      </w:r>
    </w:p>
    <w:p w14:paraId="5F9E7486" w14:textId="13984320" w:rsidR="009D22E2" w:rsidRDefault="79C6D6E9" w:rsidP="00EA6F38">
      <w:pPr>
        <w:jc w:val="both"/>
        <w:rPr>
          <w:rFonts w:eastAsiaTheme="minorEastAsia"/>
        </w:rPr>
      </w:pPr>
      <w:r w:rsidRPr="1F6F06D5">
        <w:rPr>
          <w:rFonts w:eastAsiaTheme="minorEastAsia"/>
        </w:rPr>
        <w:t>As stressed by WHO EU Regional Director Hans Kluge, if the workforce challenges are left unaddressed, “they are almost certain to lead to poor health outcomes across the board, long waiting times for treatment, many preventable deaths, and potentially even health system collapse”.</w:t>
      </w:r>
      <w:r w:rsidR="7EA27A14" w:rsidRPr="1F6F06D5">
        <w:rPr>
          <w:rStyle w:val="FootnoteReference"/>
          <w:rFonts w:eastAsiaTheme="minorEastAsia"/>
        </w:rPr>
        <w:footnoteReference w:id="4"/>
      </w:r>
      <w:r w:rsidRPr="1F6F06D5">
        <w:rPr>
          <w:rFonts w:eastAsiaTheme="minorEastAsia"/>
        </w:rPr>
        <w:t xml:space="preserve"> </w:t>
      </w:r>
      <w:r w:rsidR="0066304A">
        <w:rPr>
          <w:rFonts w:eastAsiaTheme="minorEastAsia"/>
        </w:rPr>
        <w:t>T</w:t>
      </w:r>
      <w:r w:rsidR="159C0D3C" w:rsidRPr="1F6F06D5">
        <w:rPr>
          <w:rFonts w:eastAsiaTheme="minorEastAsia"/>
        </w:rPr>
        <w:t xml:space="preserve">he consequences of the crisis are not only affecting </w:t>
      </w:r>
      <w:r w:rsidR="7901BC6E" w:rsidRPr="1F6F06D5">
        <w:rPr>
          <w:rFonts w:eastAsiaTheme="minorEastAsia"/>
        </w:rPr>
        <w:t>people across Europe</w:t>
      </w:r>
      <w:r w:rsidR="159C0D3C" w:rsidRPr="1F6F06D5">
        <w:rPr>
          <w:rFonts w:eastAsiaTheme="minorEastAsia"/>
        </w:rPr>
        <w:t xml:space="preserve"> on the short-term, but they will also have an impact on future generations. </w:t>
      </w:r>
      <w:r w:rsidR="5CED8941" w:rsidRPr="1F6F06D5">
        <w:rPr>
          <w:rFonts w:eastAsiaTheme="minorEastAsia"/>
        </w:rPr>
        <w:t>A</w:t>
      </w:r>
      <w:r w:rsidR="7927A7F4" w:rsidRPr="1F6F06D5">
        <w:rPr>
          <w:rFonts w:eastAsiaTheme="minorEastAsia"/>
        </w:rPr>
        <w:t>s the</w:t>
      </w:r>
      <w:r w:rsidR="50710422" w:rsidRPr="1F6F06D5">
        <w:rPr>
          <w:rFonts w:eastAsiaTheme="minorEastAsia"/>
        </w:rPr>
        <w:t xml:space="preserve"> current</w:t>
      </w:r>
      <w:r w:rsidR="7927A7F4" w:rsidRPr="1F6F06D5">
        <w:rPr>
          <w:rFonts w:eastAsiaTheme="minorEastAsia"/>
        </w:rPr>
        <w:t xml:space="preserve"> situation is </w:t>
      </w:r>
      <w:r w:rsidR="4965EFBC" w:rsidRPr="1F6F06D5">
        <w:rPr>
          <w:rFonts w:eastAsiaTheme="minorEastAsia"/>
        </w:rPr>
        <w:t xml:space="preserve">also </w:t>
      </w:r>
      <w:r w:rsidR="131A8644" w:rsidRPr="1F6F06D5">
        <w:rPr>
          <w:rFonts w:eastAsiaTheme="minorEastAsia"/>
        </w:rPr>
        <w:t xml:space="preserve">influencing </w:t>
      </w:r>
      <w:r w:rsidR="7927A7F4" w:rsidRPr="1F6F06D5">
        <w:rPr>
          <w:rFonts w:eastAsiaTheme="minorEastAsia"/>
        </w:rPr>
        <w:t>the attractiveness of the health</w:t>
      </w:r>
      <w:r w:rsidR="46C2FA35" w:rsidRPr="1F6F06D5">
        <w:rPr>
          <w:rFonts w:eastAsiaTheme="minorEastAsia"/>
        </w:rPr>
        <w:t xml:space="preserve"> and </w:t>
      </w:r>
      <w:r w:rsidR="7927A7F4" w:rsidRPr="1F6F06D5">
        <w:rPr>
          <w:rFonts w:eastAsiaTheme="minorEastAsia"/>
        </w:rPr>
        <w:t xml:space="preserve">care sector, there is a risk of entering a downward spiral if no action is taken. </w:t>
      </w:r>
    </w:p>
    <w:p w14:paraId="50B42366" w14:textId="0D1AE38F" w:rsidR="002A34BB" w:rsidRPr="002A34BB" w:rsidRDefault="06F5AC5C" w:rsidP="00EA6F38">
      <w:pPr>
        <w:jc w:val="both"/>
        <w:rPr>
          <w:lang w:val="en-US"/>
        </w:rPr>
      </w:pPr>
      <w:r w:rsidRPr="1F6F06D5">
        <w:rPr>
          <w:rFonts w:eastAsiaTheme="minorEastAsia"/>
        </w:rPr>
        <w:t xml:space="preserve">The </w:t>
      </w:r>
      <w:r w:rsidR="3D527133" w:rsidRPr="1F6F06D5">
        <w:rPr>
          <w:rFonts w:eastAsiaTheme="minorEastAsia"/>
        </w:rPr>
        <w:t xml:space="preserve">urgency of the </w:t>
      </w:r>
      <w:r w:rsidRPr="1F6F06D5">
        <w:rPr>
          <w:rFonts w:eastAsiaTheme="minorEastAsia"/>
        </w:rPr>
        <w:t>context calls</w:t>
      </w:r>
      <w:r w:rsidR="3F68E942" w:rsidRPr="1F6F06D5">
        <w:rPr>
          <w:rFonts w:eastAsiaTheme="minorEastAsia"/>
        </w:rPr>
        <w:t xml:space="preserve"> for immediate action. </w:t>
      </w:r>
      <w:r w:rsidR="67891CB2" w:rsidRPr="1F6F06D5">
        <w:rPr>
          <w:rFonts w:eastAsiaTheme="minorEastAsia"/>
        </w:rPr>
        <w:t xml:space="preserve">This paper is published a year after the Bucharest </w:t>
      </w:r>
      <w:r w:rsidR="0066304A" w:rsidRPr="1F6F06D5">
        <w:rPr>
          <w:rFonts w:eastAsiaTheme="minorEastAsia"/>
        </w:rPr>
        <w:t>Declaration and</w:t>
      </w:r>
      <w:r w:rsidR="67891CB2" w:rsidRPr="1F6F06D5">
        <w:rPr>
          <w:rFonts w:eastAsiaTheme="minorEastAsia"/>
        </w:rPr>
        <w:t xml:space="preserve"> follows the publication of an EESC </w:t>
      </w:r>
      <w:r w:rsidR="12A17E19" w:rsidRPr="1F6F06D5">
        <w:rPr>
          <w:rFonts w:eastAsiaTheme="minorEastAsia"/>
        </w:rPr>
        <w:t>O</w:t>
      </w:r>
      <w:r w:rsidR="67891CB2" w:rsidRPr="1F6F06D5">
        <w:rPr>
          <w:rFonts w:eastAsiaTheme="minorEastAsia"/>
        </w:rPr>
        <w:t>pinion</w:t>
      </w:r>
      <w:r w:rsidR="5628A493" w:rsidRPr="1F6F06D5">
        <w:rPr>
          <w:rFonts w:eastAsiaTheme="minorEastAsia"/>
        </w:rPr>
        <w:t xml:space="preserve"> on </w:t>
      </w:r>
      <w:r w:rsidR="5628A493">
        <w:t>Health Workforce and Care Strategy for the future of Europe</w:t>
      </w:r>
      <w:r w:rsidR="00547371">
        <w:rPr>
          <w:rStyle w:val="FootnoteReference"/>
        </w:rPr>
        <w:footnoteReference w:id="5"/>
      </w:r>
      <w:r w:rsidR="7C4744DD">
        <w:t>.</w:t>
      </w:r>
      <w:r w:rsidR="00AAEDAB">
        <w:t xml:space="preserve"> </w:t>
      </w:r>
      <w:r w:rsidR="60F682B6">
        <w:t xml:space="preserve">The latter stresses </w:t>
      </w:r>
      <w:r w:rsidR="00AAEDAB">
        <w:t xml:space="preserve">the fundamental role of the health and care workforce in </w:t>
      </w:r>
      <w:r w:rsidR="2A4BECAB">
        <w:t>achieving human-centred health coverage for all and the right to health recommended by the Conference on the Future of Europe.</w:t>
      </w:r>
      <w:r w:rsidR="004F6026">
        <w:rPr>
          <w:rStyle w:val="FootnoteReference"/>
        </w:rPr>
        <w:footnoteReference w:id="6"/>
      </w:r>
      <w:r>
        <w:t xml:space="preserve"> Furthermore, </w:t>
      </w:r>
      <w:r w:rsidR="7B8E6787">
        <w:t>this paper</w:t>
      </w:r>
      <w:r w:rsidR="009217AB">
        <w:t xml:space="preserve"> also comes after</w:t>
      </w:r>
      <w:r w:rsidR="7B8E6787">
        <w:t xml:space="preserve"> </w:t>
      </w:r>
      <w:r w:rsidR="3F68E942">
        <w:t xml:space="preserve">the </w:t>
      </w:r>
      <w:r w:rsidR="0020322A">
        <w:t xml:space="preserve">publication of the </w:t>
      </w:r>
      <w:r w:rsidR="3F68E942">
        <w:t>WHO</w:t>
      </w:r>
      <w:r w:rsidR="1CB1481D">
        <w:t>’s</w:t>
      </w:r>
      <w:r w:rsidR="3F68E942">
        <w:t xml:space="preserve">  H</w:t>
      </w:r>
      <w:r w:rsidR="3F68E942" w:rsidRPr="002C4677">
        <w:t>ealth and Care Workforce Framework for Action 2023-2030</w:t>
      </w:r>
      <w:r w:rsidR="00E93219">
        <w:rPr>
          <w:rStyle w:val="FootnoteReference"/>
        </w:rPr>
        <w:footnoteReference w:id="7"/>
      </w:r>
      <w:r w:rsidR="2D9A5DE7">
        <w:t xml:space="preserve">, providing five pillars of action (investment, building supply, retaining and recruiting, </w:t>
      </w:r>
      <w:r w:rsidR="4D6088D2">
        <w:t xml:space="preserve">optimising performance and planning). Finally, </w:t>
      </w:r>
      <w:r w:rsidR="4D6088D2" w:rsidRPr="1F6F06D5">
        <w:rPr>
          <w:rFonts w:eastAsiaTheme="minorEastAsia"/>
        </w:rPr>
        <w:t>i</w:t>
      </w:r>
      <w:r w:rsidR="79C6D6E9" w:rsidRPr="1F6F06D5">
        <w:rPr>
          <w:rFonts w:eastAsiaTheme="minorEastAsia"/>
        </w:rPr>
        <w:t>n the context of its priority to strengthen the</w:t>
      </w:r>
      <w:r w:rsidR="3BEA84DA" w:rsidRPr="1F6F06D5">
        <w:rPr>
          <w:rFonts w:eastAsiaTheme="minorEastAsia"/>
        </w:rPr>
        <w:t xml:space="preserve"> </w:t>
      </w:r>
      <w:r w:rsidR="79C6D6E9" w:rsidRPr="1F6F06D5">
        <w:rPr>
          <w:rFonts w:eastAsiaTheme="minorEastAsia"/>
        </w:rPr>
        <w:t xml:space="preserve">health agenda, the Belgian Presidency of the Council of the European Union has committed to developing a strategy to boost the EU’s health and care workforce. </w:t>
      </w:r>
      <w:proofErr w:type="gramStart"/>
      <w:r w:rsidR="5C9FC8B1" w:rsidRPr="1F6F06D5">
        <w:rPr>
          <w:rFonts w:eastAsiaTheme="minorEastAsia"/>
        </w:rPr>
        <w:t xml:space="preserve">Going forward, </w:t>
      </w:r>
      <w:r w:rsidR="18CD4921" w:rsidRPr="1F6F06D5">
        <w:rPr>
          <w:rFonts w:eastAsiaTheme="minorEastAsia"/>
        </w:rPr>
        <w:t>it</w:t>
      </w:r>
      <w:proofErr w:type="gramEnd"/>
      <w:r w:rsidR="79C6D6E9" w:rsidRPr="1F6F06D5">
        <w:rPr>
          <w:rFonts w:eastAsiaTheme="minorEastAsia"/>
        </w:rPr>
        <w:t xml:space="preserve"> is essential that the EU supports this initiative and acts in its upcoming mandate</w:t>
      </w:r>
      <w:r w:rsidR="50686DAE" w:rsidRPr="1F6F06D5">
        <w:rPr>
          <w:rFonts w:eastAsiaTheme="minorEastAsia"/>
        </w:rPr>
        <w:t xml:space="preserve"> to tackle the </w:t>
      </w:r>
      <w:r w:rsidR="52CA63FA" w:rsidRPr="1F6F06D5">
        <w:rPr>
          <w:rFonts w:eastAsiaTheme="minorEastAsia"/>
        </w:rPr>
        <w:t xml:space="preserve">pressing </w:t>
      </w:r>
      <w:r w:rsidR="50686DAE" w:rsidRPr="1F6F06D5">
        <w:rPr>
          <w:rFonts w:eastAsiaTheme="minorEastAsia"/>
        </w:rPr>
        <w:t>short- and long-term challenges imposed</w:t>
      </w:r>
      <w:r w:rsidR="1F831D87" w:rsidRPr="1F6F06D5">
        <w:rPr>
          <w:rFonts w:eastAsiaTheme="minorEastAsia"/>
        </w:rPr>
        <w:t xml:space="preserve"> by this</w:t>
      </w:r>
      <w:r w:rsidR="1B4C3B97" w:rsidRPr="1F6F06D5">
        <w:rPr>
          <w:rFonts w:eastAsiaTheme="minorEastAsia"/>
        </w:rPr>
        <w:t xml:space="preserve"> crisis</w:t>
      </w:r>
      <w:r w:rsidR="79C6D6E9" w:rsidRPr="1F6F06D5">
        <w:rPr>
          <w:rFonts w:eastAsiaTheme="minorEastAsia"/>
        </w:rPr>
        <w:t>.</w:t>
      </w:r>
      <w:r w:rsidR="002A34BB">
        <w:br w:type="page"/>
      </w:r>
    </w:p>
    <w:p w14:paraId="44674105" w14:textId="24078CE0" w:rsidR="00CF342D" w:rsidRPr="00AB4C30" w:rsidRDefault="009049A8" w:rsidP="00EA6F38">
      <w:pPr>
        <w:pStyle w:val="Heading1"/>
        <w:numPr>
          <w:ilvl w:val="0"/>
          <w:numId w:val="11"/>
        </w:numPr>
        <w:ind w:left="714" w:hanging="357"/>
        <w:jc w:val="both"/>
      </w:pPr>
      <w:bookmarkStart w:id="2" w:name="_Toc159502612"/>
      <w:r w:rsidRPr="00AB4C30">
        <w:t>Objective</w:t>
      </w:r>
      <w:r w:rsidR="002C7A73" w:rsidRPr="00AB4C30">
        <w:t>s</w:t>
      </w:r>
      <w:bookmarkEnd w:id="2"/>
    </w:p>
    <w:p w14:paraId="56AE3F6A" w14:textId="07742DAD" w:rsidR="00A54827" w:rsidRDefault="24D4955F" w:rsidP="00A54827">
      <w:pPr>
        <w:jc w:val="both"/>
      </w:pPr>
      <w:r w:rsidRPr="00AB4C30">
        <w:t>In this context of challenges for the health</w:t>
      </w:r>
      <w:r w:rsidR="504D2ECD">
        <w:t xml:space="preserve"> and </w:t>
      </w:r>
      <w:r w:rsidRPr="00AB4C30">
        <w:t>care workforce and following the Bucharest Declaration</w:t>
      </w:r>
      <w:r w:rsidR="648397D8">
        <w:t>,</w:t>
      </w:r>
      <w:r w:rsidRPr="00AB4C30">
        <w:t xml:space="preserve"> recognizing the key role of the workforce in our healthcare systems and societies, several </w:t>
      </w:r>
      <w:r>
        <w:t xml:space="preserve">public </w:t>
      </w:r>
      <w:r w:rsidRPr="00AB4C30">
        <w:t>health organisations</w:t>
      </w:r>
      <w:r w:rsidR="006D74E8">
        <w:rPr>
          <w:rStyle w:val="FootnoteReference"/>
        </w:rPr>
        <w:footnoteReference w:id="8"/>
      </w:r>
      <w:r w:rsidRPr="00AB4C30">
        <w:t xml:space="preserve"> have decided to work together on recommendations through a joint paper. Building on existing literature, this paper seeks to bring new elements, a new vision through the public health perspective, while focusing not only on the post-COVID-19 recovery but on a long-term vision for the health</w:t>
      </w:r>
      <w:r w:rsidR="504D2ECD">
        <w:t xml:space="preserve"> and </w:t>
      </w:r>
      <w:r w:rsidRPr="00AB4C30">
        <w:t>care workforce.</w:t>
      </w:r>
    </w:p>
    <w:p w14:paraId="75C39FF1" w14:textId="2A01CB85" w:rsidR="00A54827" w:rsidRDefault="00A54827" w:rsidP="00A54827">
      <w:pPr>
        <w:jc w:val="both"/>
      </w:pPr>
      <w:r>
        <w:t xml:space="preserve">The paper seeks to bring </w:t>
      </w:r>
      <w:r w:rsidR="194CDB6A">
        <w:t xml:space="preserve">to the table </w:t>
      </w:r>
      <w:r>
        <w:t xml:space="preserve">the voice of civil society and </w:t>
      </w:r>
      <w:r w:rsidR="1DBABFE3">
        <w:t xml:space="preserve">of </w:t>
      </w:r>
      <w:r>
        <w:t>organisations representing health and care workers from different professions. It brings forward their recommendations</w:t>
      </w:r>
      <w:r w:rsidR="77BD8F8C">
        <w:t xml:space="preserve"> and </w:t>
      </w:r>
      <w:r w:rsidR="00240901">
        <w:t>call to</w:t>
      </w:r>
      <w:r w:rsidR="2232CACD">
        <w:t xml:space="preserve"> </w:t>
      </w:r>
      <w:r w:rsidR="00730CEF">
        <w:t>action on</w:t>
      </w:r>
      <w:r>
        <w:t xml:space="preserve"> the dire situation of the health and care workforce.</w:t>
      </w:r>
    </w:p>
    <w:p w14:paraId="6CDBE9F8" w14:textId="03FC4CF5" w:rsidR="00A54827" w:rsidRDefault="00A54827" w:rsidP="00A54827">
      <w:pPr>
        <w:jc w:val="both"/>
      </w:pPr>
      <w:r w:rsidRPr="00AB4C30">
        <w:t>This paper is published in the context of the Belgian Presidency of the Council of the European Union. In their health priorities, the Belgian Presidency has indicated the goal of “</w:t>
      </w:r>
      <w:r w:rsidR="00377641">
        <w:t>exploring how the EU can strengthen and support Member States’ health systems and health workforce strategies, including shortages</w:t>
      </w:r>
      <w:r w:rsidRPr="00AB4C30">
        <w:t>”.</w:t>
      </w:r>
      <w:r w:rsidRPr="00AB4C30">
        <w:rPr>
          <w:rStyle w:val="FootnoteReference"/>
        </w:rPr>
        <w:footnoteReference w:id="9"/>
      </w:r>
      <w:r>
        <w:t xml:space="preserve"> </w:t>
      </w:r>
      <w:r w:rsidR="004A6494">
        <w:t>I</w:t>
      </w:r>
      <w:r w:rsidR="1A824F5C">
        <w:t>n light of this</w:t>
      </w:r>
      <w:r w:rsidR="004A6494">
        <w:t>,</w:t>
      </w:r>
      <w:r>
        <w:t xml:space="preserve"> a </w:t>
      </w:r>
      <w:r w:rsidR="005D4D6D">
        <w:t xml:space="preserve">dedicated </w:t>
      </w:r>
      <w:r>
        <w:t>Strategy would pave the way to stronger policies addressing the challenges of the health and care workforce.</w:t>
      </w:r>
    </w:p>
    <w:p w14:paraId="6E7619FC" w14:textId="77777777" w:rsidR="002A34BB" w:rsidRDefault="002A34BB">
      <w:pPr>
        <w:spacing w:before="0" w:after="160"/>
        <w:rPr>
          <w:rFonts w:asciiTheme="majorHAnsi" w:eastAsiaTheme="majorEastAsia" w:hAnsiTheme="majorHAnsi" w:cstheme="majorBidi"/>
          <w:color w:val="2F5496" w:themeColor="accent1" w:themeShade="BF"/>
          <w:sz w:val="32"/>
          <w:szCs w:val="32"/>
        </w:rPr>
      </w:pPr>
      <w:r>
        <w:br w:type="page"/>
      </w:r>
    </w:p>
    <w:p w14:paraId="4A204434" w14:textId="4BA4058F" w:rsidR="00F335E0" w:rsidRPr="00AB4C30" w:rsidRDefault="00034880" w:rsidP="006138B8">
      <w:pPr>
        <w:pStyle w:val="Heading1"/>
        <w:numPr>
          <w:ilvl w:val="0"/>
          <w:numId w:val="11"/>
        </w:numPr>
        <w:jc w:val="both"/>
      </w:pPr>
      <w:bookmarkStart w:id="3" w:name="_Toc159502613"/>
      <w:r w:rsidRPr="00AB4C30">
        <w:t>The situation of the health and care workforce</w:t>
      </w:r>
      <w:bookmarkEnd w:id="3"/>
    </w:p>
    <w:p w14:paraId="4272FC26" w14:textId="116B6E31" w:rsidR="00F335E0" w:rsidRPr="00AB4C30" w:rsidRDefault="00F335E0" w:rsidP="006138B8">
      <w:pPr>
        <w:pStyle w:val="Heading2"/>
        <w:numPr>
          <w:ilvl w:val="1"/>
          <w:numId w:val="11"/>
        </w:numPr>
      </w:pPr>
      <w:bookmarkStart w:id="4" w:name="_Toc159502614"/>
      <w:r w:rsidRPr="00AB4C30">
        <w:t>Staff shortages and medical deserts</w:t>
      </w:r>
      <w:bookmarkEnd w:id="4"/>
    </w:p>
    <w:p w14:paraId="61920FDA" w14:textId="6FBBF346" w:rsidR="00584E6F" w:rsidRPr="00AB4C30" w:rsidRDefault="00584E6F" w:rsidP="00EA6F38">
      <w:pPr>
        <w:pStyle w:val="Heading4"/>
        <w:numPr>
          <w:ilvl w:val="2"/>
          <w:numId w:val="11"/>
        </w:numPr>
        <w:spacing w:before="120" w:after="120"/>
      </w:pPr>
      <w:r w:rsidRPr="00AB4C30">
        <w:t>S</w:t>
      </w:r>
      <w:r w:rsidR="00275838" w:rsidRPr="00AB4C30">
        <w:t>tate of play on the workforce shortages</w:t>
      </w:r>
    </w:p>
    <w:p w14:paraId="06E6CD7A" w14:textId="1B910FBF" w:rsidR="00705525" w:rsidRDefault="09317246" w:rsidP="00EA6F38">
      <w:pPr>
        <w:jc w:val="both"/>
      </w:pPr>
      <w:r>
        <w:t>Currently, health</w:t>
      </w:r>
      <w:r w:rsidR="35207384">
        <w:t xml:space="preserve"> and </w:t>
      </w:r>
      <w:r>
        <w:t xml:space="preserve">care workforce shortages, especially </w:t>
      </w:r>
      <w:r w:rsidR="272BB350">
        <w:t xml:space="preserve">of </w:t>
      </w:r>
      <w:r>
        <w:t xml:space="preserve">nurses and primary care professionals, are </w:t>
      </w:r>
      <w:r w:rsidR="76DCC8AE">
        <w:t>observed</w:t>
      </w:r>
      <w:r>
        <w:t xml:space="preserve"> in all countries.</w:t>
      </w:r>
      <w:r w:rsidR="64A5719C" w:rsidRPr="79E5DF2B">
        <w:rPr>
          <w:rStyle w:val="FootnoteReference"/>
        </w:rPr>
        <w:footnoteReference w:id="10"/>
      </w:r>
      <w:r>
        <w:t xml:space="preserve"> As highlighted by the Bucharest Declaration, “health systems are experiencing difficulties in meeting the increased demand for health services, as a result of ageing populations, increases in chronic diseases, service backlogs due to the COVID-19 pandemic</w:t>
      </w:r>
      <w:r w:rsidR="67196924">
        <w:t>”</w:t>
      </w:r>
      <w:r>
        <w:t>.</w:t>
      </w:r>
      <w:r w:rsidR="64A5719C" w:rsidRPr="79E5DF2B">
        <w:rPr>
          <w:rStyle w:val="FootnoteReference"/>
        </w:rPr>
        <w:footnoteReference w:id="11"/>
      </w:r>
      <w:r>
        <w:t xml:space="preserve"> </w:t>
      </w:r>
      <w:r w:rsidR="4C796CA3">
        <w:t>However, t</w:t>
      </w:r>
      <w:r w:rsidR="659C16D5">
        <w:t xml:space="preserve">he </w:t>
      </w:r>
      <w:r w:rsidR="42E31D05">
        <w:t xml:space="preserve">issue </w:t>
      </w:r>
      <w:r w:rsidR="659C16D5">
        <w:t xml:space="preserve">is not new and health systems have </w:t>
      </w:r>
      <w:r w:rsidR="6B8678A6">
        <w:t xml:space="preserve">been </w:t>
      </w:r>
      <w:r w:rsidR="00C931FC">
        <w:t>facing</w:t>
      </w:r>
      <w:r w:rsidR="659C16D5">
        <w:t xml:space="preserve"> </w:t>
      </w:r>
      <w:r w:rsidR="4AFAD339">
        <w:t>i</w:t>
      </w:r>
      <w:r w:rsidR="7FA44ABF">
        <w:t xml:space="preserve">t already </w:t>
      </w:r>
      <w:r w:rsidR="2E77B5D3">
        <w:t xml:space="preserve">for </w:t>
      </w:r>
      <w:r w:rsidR="00C931FC">
        <w:t>several</w:t>
      </w:r>
      <w:r w:rsidR="2E77B5D3">
        <w:t xml:space="preserve"> years</w:t>
      </w:r>
      <w:r w:rsidR="4615E7BD">
        <w:t>.</w:t>
      </w:r>
    </w:p>
    <w:p w14:paraId="6DB8CA5E" w14:textId="00C99AD9" w:rsidR="51E34F4A" w:rsidRDefault="1E636503" w:rsidP="00EA6F38">
      <w:pPr>
        <w:jc w:val="both"/>
        <w:rPr>
          <w:rFonts w:ascii="Calibri" w:eastAsia="Times New Roman" w:hAnsi="Calibri" w:cs="Calibri"/>
        </w:rPr>
      </w:pPr>
      <w:r>
        <w:t>In 2013, the WHO estimated that, in the European Region, the overall shortage of health</w:t>
      </w:r>
      <w:r w:rsidR="4E9340C8">
        <w:t xml:space="preserve"> and </w:t>
      </w:r>
      <w:r>
        <w:t>care workforce was 1.6 million. While there has been, in the past decade, a 37% and 26% increase in the training of doctors and nurses</w:t>
      </w:r>
      <w:r w:rsidR="00705525">
        <w:t xml:space="preserve"> respectively</w:t>
      </w:r>
      <w:r>
        <w:t>, this has not been sufficient to address the shortage</w:t>
      </w:r>
      <w:r w:rsidR="49922A0B">
        <w:t>s</w:t>
      </w:r>
      <w:r>
        <w:t>. The WHO estimates a shortage of 4.1 million health workers by 2030. This includes specifically 0.6 million physicians, 2.3 million nurses and 1.3 million other health</w:t>
      </w:r>
      <w:r w:rsidR="009B5D70">
        <w:t xml:space="preserve"> and </w:t>
      </w:r>
      <w:r>
        <w:t>care professionals.</w:t>
      </w:r>
      <w:r w:rsidR="51E34F4A" w:rsidRPr="79E5DF2B">
        <w:rPr>
          <w:rStyle w:val="FootnoteReference"/>
        </w:rPr>
        <w:footnoteReference w:id="12"/>
      </w:r>
      <w:r w:rsidR="0CDCC035" w:rsidRPr="40B2C4AC">
        <w:rPr>
          <w:rFonts w:ascii="Calibri" w:eastAsia="Times New Roman" w:hAnsi="Calibri" w:cs="Calibri"/>
        </w:rPr>
        <w:t xml:space="preserve"> </w:t>
      </w:r>
      <w:r w:rsidR="5485BAC7" w:rsidRPr="40B2C4AC">
        <w:rPr>
          <w:rFonts w:ascii="Calibri" w:eastAsia="Times New Roman" w:hAnsi="Calibri" w:cs="Calibri"/>
        </w:rPr>
        <w:t>Indeed, the</w:t>
      </w:r>
      <w:r w:rsidR="39DE8231" w:rsidRPr="40B2C4AC">
        <w:rPr>
          <w:rFonts w:ascii="Calibri" w:eastAsia="Times New Roman" w:hAnsi="Calibri" w:cs="Calibri"/>
        </w:rPr>
        <w:t xml:space="preserve"> demand for health</w:t>
      </w:r>
      <w:r w:rsidR="688AADAD">
        <w:rPr>
          <w:rFonts w:ascii="Calibri" w:eastAsia="Times New Roman" w:hAnsi="Calibri" w:cs="Calibri"/>
        </w:rPr>
        <w:t xml:space="preserve"> and </w:t>
      </w:r>
      <w:r w:rsidR="39DE8231" w:rsidRPr="40B2C4AC">
        <w:rPr>
          <w:rFonts w:ascii="Calibri" w:eastAsia="Times New Roman" w:hAnsi="Calibri" w:cs="Calibri"/>
        </w:rPr>
        <w:t>care workforce is destined to grow</w:t>
      </w:r>
      <w:r w:rsidR="7BE04DC4" w:rsidRPr="40B2C4AC">
        <w:rPr>
          <w:rFonts w:ascii="Calibri" w:eastAsia="Times New Roman" w:hAnsi="Calibri" w:cs="Calibri"/>
        </w:rPr>
        <w:t xml:space="preserve"> as i</w:t>
      </w:r>
      <w:r w:rsidR="39DE8231" w:rsidRPr="40B2C4AC">
        <w:rPr>
          <w:rFonts w:ascii="Calibri" w:eastAsia="Times New Roman" w:hAnsi="Calibri" w:cs="Calibri"/>
        </w:rPr>
        <w:t>t is estimated that by 2050 around 30% of the EU population will be at least 65, compared to 21% in 2022.</w:t>
      </w:r>
      <w:r w:rsidR="00AC73FD">
        <w:rPr>
          <w:rStyle w:val="FootnoteReference"/>
          <w:rFonts w:ascii="Calibri" w:eastAsia="Times New Roman" w:hAnsi="Calibri" w:cs="Calibri"/>
        </w:rPr>
        <w:footnoteReference w:id="13"/>
      </w:r>
      <w:r w:rsidR="39DE8231" w:rsidRPr="40B2C4AC">
        <w:rPr>
          <w:rFonts w:ascii="Calibri" w:eastAsia="Times New Roman" w:hAnsi="Calibri" w:cs="Calibri"/>
        </w:rPr>
        <w:t xml:space="preserve"> </w:t>
      </w:r>
    </w:p>
    <w:p w14:paraId="2D3F1374" w14:textId="5DAC60E6" w:rsidR="51E34F4A" w:rsidRDefault="002A34BB" w:rsidP="00EA6F38">
      <w:pPr>
        <w:jc w:val="both"/>
      </w:pPr>
      <w:r w:rsidRPr="40B2C4AC">
        <w:rPr>
          <w:rFonts w:ascii="Calibri" w:eastAsia="Times New Roman" w:hAnsi="Calibri" w:cs="Calibri"/>
        </w:rPr>
        <w:t>Furthermore, the</w:t>
      </w:r>
      <w:r w:rsidR="39DE8231" w:rsidRPr="40B2C4AC">
        <w:rPr>
          <w:rFonts w:ascii="Calibri" w:eastAsia="Times New Roman" w:hAnsi="Calibri" w:cs="Calibri"/>
        </w:rPr>
        <w:t xml:space="preserve"> ageing of the health</w:t>
      </w:r>
      <w:r w:rsidR="602BFED5">
        <w:rPr>
          <w:rFonts w:ascii="Calibri" w:eastAsia="Times New Roman" w:hAnsi="Calibri" w:cs="Calibri"/>
        </w:rPr>
        <w:t xml:space="preserve"> and </w:t>
      </w:r>
      <w:r w:rsidR="39DE8231" w:rsidRPr="40B2C4AC">
        <w:rPr>
          <w:rFonts w:ascii="Calibri" w:eastAsia="Times New Roman" w:hAnsi="Calibri" w:cs="Calibri"/>
        </w:rPr>
        <w:t>care workforce itself is adding to this challenge</w:t>
      </w:r>
      <w:r w:rsidR="32BD0F49">
        <w:t xml:space="preserve"> </w:t>
      </w:r>
      <w:r w:rsidR="5AA4B0E1">
        <w:t>as</w:t>
      </w:r>
      <w:r w:rsidR="32BD0F49">
        <w:t xml:space="preserve"> </w:t>
      </w:r>
      <w:proofErr w:type="gramStart"/>
      <w:r w:rsidR="32BD0F49">
        <w:t>a</w:t>
      </w:r>
      <w:r w:rsidR="710C0C9F">
        <w:t xml:space="preserve"> large number of</w:t>
      </w:r>
      <w:proofErr w:type="gramEnd"/>
      <w:r w:rsidR="710C0C9F">
        <w:t xml:space="preserve"> health and care workers are expected to retire in the coming years. In</w:t>
      </w:r>
      <w:r w:rsidR="013E47DA">
        <w:t>deed, in</w:t>
      </w:r>
      <w:r w:rsidR="710C0C9F">
        <w:t xml:space="preserve"> the WHO European Region, in 13 out of 44 countries providing data, at least 40% of the doctors are over 55 years old and are expected to retire within the coming 10 years.</w:t>
      </w:r>
      <w:r w:rsidR="178AB2C8" w:rsidRPr="3CEA1630">
        <w:rPr>
          <w:rStyle w:val="FootnoteReference"/>
        </w:rPr>
        <w:footnoteReference w:id="14"/>
      </w:r>
    </w:p>
    <w:p w14:paraId="44141507" w14:textId="70F4EE5D" w:rsidR="5B05052D" w:rsidRDefault="78320F6E" w:rsidP="00EA6F38">
      <w:pPr>
        <w:jc w:val="both"/>
      </w:pPr>
      <w:r>
        <w:t>The health</w:t>
      </w:r>
      <w:r w:rsidR="00CC48FA">
        <w:t xml:space="preserve"> and </w:t>
      </w:r>
      <w:r>
        <w:t xml:space="preserve">care workforce crisis </w:t>
      </w:r>
      <w:proofErr w:type="gramStart"/>
      <w:r>
        <w:t>is</w:t>
      </w:r>
      <w:proofErr w:type="gramEnd"/>
      <w:r>
        <w:t xml:space="preserve"> </w:t>
      </w:r>
      <w:r w:rsidR="5EC2B278">
        <w:t xml:space="preserve">therefore </w:t>
      </w:r>
      <w:r>
        <w:t xml:space="preserve">affecting the performance of healthcare systems. The </w:t>
      </w:r>
      <w:r w:rsidR="00DF3E79">
        <w:t xml:space="preserve">shortages </w:t>
      </w:r>
      <w:r>
        <w:t xml:space="preserve">prevent meeting the demands and expectations for all the professions in health and care. </w:t>
      </w:r>
      <w:r w:rsidR="5B05052D">
        <w:t xml:space="preserve">Particularly in rural areas, hospitals across Europe are experiencing shortages </w:t>
      </w:r>
      <w:r w:rsidR="000D2D8C">
        <w:t>(</w:t>
      </w:r>
      <w:r w:rsidR="5B05052D">
        <w:t>nurses, physicians, but also pharmacists and technicians</w:t>
      </w:r>
      <w:r w:rsidR="000D2D8C">
        <w:t>)</w:t>
      </w:r>
      <w:r w:rsidR="00671B8E">
        <w:t>, resulting in insufficient staffing</w:t>
      </w:r>
      <w:r w:rsidR="539DC5C4">
        <w:t xml:space="preserve"> </w:t>
      </w:r>
      <w:r w:rsidR="00C41F17">
        <w:t xml:space="preserve">to </w:t>
      </w:r>
      <w:r w:rsidR="539DC5C4">
        <w:t>meet patients' needs.</w:t>
      </w:r>
    </w:p>
    <w:p w14:paraId="6C3984DE" w14:textId="3E48AA40" w:rsidR="007C7257" w:rsidRDefault="120F81E2" w:rsidP="00EA6F38">
      <w:pPr>
        <w:jc w:val="both"/>
      </w:pPr>
      <w:r>
        <w:t xml:space="preserve">The </w:t>
      </w:r>
      <w:r w:rsidR="338EED97" w:rsidRPr="00AB4C30">
        <w:t xml:space="preserve">COVID-19 </w:t>
      </w:r>
      <w:r w:rsidR="59270CEB">
        <w:t xml:space="preserve">crisis </w:t>
      </w:r>
      <w:r w:rsidR="338EED97" w:rsidRPr="00AB4C30">
        <w:t>did not create the shortages but exacerbated them</w:t>
      </w:r>
      <w:r w:rsidR="6DE8B7FB">
        <w:t>.</w:t>
      </w:r>
      <w:r w:rsidR="00927315" w:rsidRPr="00AB4C30">
        <w:rPr>
          <w:rStyle w:val="FootnoteReference"/>
        </w:rPr>
        <w:footnoteReference w:id="15"/>
      </w:r>
      <w:r w:rsidR="05282B06" w:rsidRPr="00AB4C30">
        <w:t xml:space="preserve"> Due to </w:t>
      </w:r>
      <w:r>
        <w:t>the pandemic</w:t>
      </w:r>
      <w:r w:rsidR="05282B06" w:rsidRPr="00AB4C30">
        <w:t xml:space="preserve">, 50 000 health and care workers </w:t>
      </w:r>
      <w:r w:rsidR="6EA23E27" w:rsidRPr="00AB4C30">
        <w:t xml:space="preserve">are estimated to </w:t>
      </w:r>
      <w:r w:rsidR="05282B06" w:rsidRPr="00AB4C30">
        <w:t>have died in the European Region</w:t>
      </w:r>
      <w:r>
        <w:t>.</w:t>
      </w:r>
      <w:r w:rsidR="00EB0658" w:rsidRPr="00AB4C30">
        <w:rPr>
          <w:rStyle w:val="FootnoteReference"/>
        </w:rPr>
        <w:footnoteReference w:id="16"/>
      </w:r>
      <w:r w:rsidR="630CE8E8" w:rsidRPr="00AB4C30">
        <w:t xml:space="preserve"> </w:t>
      </w:r>
      <w:r w:rsidR="39AAE5C6" w:rsidRPr="00AB4C30">
        <w:t xml:space="preserve">Furthermore, </w:t>
      </w:r>
      <w:r w:rsidR="75A4A352" w:rsidRPr="00AB4C30">
        <w:t xml:space="preserve">health services and the health and care workforce have not been able to keep up with </w:t>
      </w:r>
      <w:r w:rsidR="39AAE5C6" w:rsidRPr="00AB4C30">
        <w:t>the</w:t>
      </w:r>
      <w:r w:rsidR="75A4A352" w:rsidRPr="00AB4C30">
        <w:t xml:space="preserve"> fast</w:t>
      </w:r>
      <w:r w:rsidR="099FBA20" w:rsidRPr="00AB4C30">
        <w:t>-</w:t>
      </w:r>
      <w:r w:rsidR="75A4A352" w:rsidRPr="00AB4C30">
        <w:t>increasing</w:t>
      </w:r>
      <w:r w:rsidR="39AAE5C6" w:rsidRPr="00AB4C30">
        <w:t xml:space="preserve"> demand for health services</w:t>
      </w:r>
      <w:r w:rsidR="0A98E65C" w:rsidRPr="00AB4C30">
        <w:t>,</w:t>
      </w:r>
      <w:r w:rsidR="39AAE5C6" w:rsidRPr="00AB4C30">
        <w:t xml:space="preserve"> </w:t>
      </w:r>
      <w:r w:rsidR="0A98E65C" w:rsidRPr="00AB4C30">
        <w:t xml:space="preserve">which was already </w:t>
      </w:r>
      <w:r w:rsidR="00E83773">
        <w:t>happening</w:t>
      </w:r>
      <w:r w:rsidR="0A98E65C" w:rsidRPr="00AB4C30">
        <w:t xml:space="preserve"> before. The pandemic has led to </w:t>
      </w:r>
      <w:r w:rsidR="6DE8B7FB">
        <w:t xml:space="preserve">increasing </w:t>
      </w:r>
      <w:r w:rsidR="0A98E65C" w:rsidRPr="00AB4C30">
        <w:t>backlogs, which are exacerbating the issue even further.</w:t>
      </w:r>
    </w:p>
    <w:p w14:paraId="0D080E9A" w14:textId="7FD76E3A" w:rsidR="2AE08C18" w:rsidRDefault="34313EF3" w:rsidP="00EA6F38">
      <w:pPr>
        <w:jc w:val="both"/>
      </w:pPr>
      <w:r>
        <w:t>T</w:t>
      </w:r>
      <w:r w:rsidR="0A98E65C" w:rsidRPr="00AB4C30">
        <w:t>he l</w:t>
      </w:r>
      <w:r w:rsidR="09AC89AC" w:rsidRPr="00AB4C30">
        <w:t>ong-last</w:t>
      </w:r>
      <w:r w:rsidR="461CC7BB" w:rsidRPr="00AB4C30">
        <w:t xml:space="preserve">ing impacts of the COVID-19 </w:t>
      </w:r>
      <w:r w:rsidR="0F6928D9" w:rsidRPr="00AB4C30">
        <w:t>crisis</w:t>
      </w:r>
      <w:r w:rsidR="461CC7BB" w:rsidRPr="00AB4C30">
        <w:t xml:space="preserve"> are likely to make this situation even worse in the coming years.</w:t>
      </w:r>
      <w:r w:rsidR="003B077E" w:rsidRPr="00AB4C30">
        <w:rPr>
          <w:rStyle w:val="FootnoteReference"/>
        </w:rPr>
        <w:footnoteReference w:id="17"/>
      </w:r>
      <w:r w:rsidR="0A98E65C" w:rsidRPr="00AB4C30">
        <w:t xml:space="preserve"> </w:t>
      </w:r>
      <w:r w:rsidR="77E3BE88" w:rsidRPr="00AB4C30">
        <w:t xml:space="preserve">Among the shortages of health and care workforce, the case of specialist nurses should also be highlighted. During the pandemic, many nurses were relocated to other wards, </w:t>
      </w:r>
      <w:r w:rsidR="242A4913" w:rsidRPr="00AB4C30">
        <w:t xml:space="preserve">which </w:t>
      </w:r>
      <w:r w:rsidR="77E3BE88" w:rsidRPr="00AB4C30">
        <w:t xml:space="preserve">required different skills, </w:t>
      </w:r>
      <w:proofErr w:type="gramStart"/>
      <w:r w:rsidR="77E3BE88" w:rsidRPr="00AB4C30">
        <w:t>experience</w:t>
      </w:r>
      <w:proofErr w:type="gramEnd"/>
      <w:r w:rsidR="77E3BE88" w:rsidRPr="00AB4C30">
        <w:t xml:space="preserve"> and competencies. This </w:t>
      </w:r>
      <w:r>
        <w:t>tended to disregard</w:t>
      </w:r>
      <w:r w:rsidR="77E3BE88" w:rsidRPr="00AB4C30">
        <w:t xml:space="preserve"> the fact that nurses can be trained in different specialisations with each their specific skills, and that nurses from different wards cannot necessarily be</w:t>
      </w:r>
      <w:r>
        <w:t xml:space="preserve"> </w:t>
      </w:r>
      <w:r w:rsidRPr="00AB4C30">
        <w:t>easily</w:t>
      </w:r>
      <w:r w:rsidR="77E3BE88" w:rsidRPr="00AB4C30">
        <w:t xml:space="preserve"> re-staffed </w:t>
      </w:r>
      <w:r w:rsidR="00196DC6">
        <w:t>to</w:t>
      </w:r>
      <w:r w:rsidR="77E3BE88" w:rsidRPr="00AB4C30">
        <w:t xml:space="preserve"> another ward.</w:t>
      </w:r>
    </w:p>
    <w:p w14:paraId="603E90CB" w14:textId="52CFB3A5" w:rsidR="00347041" w:rsidRDefault="005A40DB" w:rsidP="00EA6F38">
      <w:pPr>
        <w:pStyle w:val="Heading4"/>
        <w:numPr>
          <w:ilvl w:val="2"/>
          <w:numId w:val="11"/>
        </w:numPr>
        <w:spacing w:before="120" w:after="120" w:line="240" w:lineRule="auto"/>
      </w:pPr>
      <w:r w:rsidRPr="00AB4C30">
        <w:t>Shortages – the cost of inaction</w:t>
      </w:r>
      <w:r w:rsidR="004D7CA5">
        <w:t xml:space="preserve"> </w:t>
      </w:r>
    </w:p>
    <w:p w14:paraId="23CF1074" w14:textId="408F534B" w:rsidR="00F35AFC" w:rsidRDefault="18761846" w:rsidP="00C4796C">
      <w:pPr>
        <w:jc w:val="both"/>
        <w:rPr>
          <w:rFonts w:ascii="Calibri" w:eastAsia="Times New Roman" w:hAnsi="Calibri" w:cs="Calibri"/>
        </w:rPr>
      </w:pPr>
      <w:r w:rsidRPr="7C424347">
        <w:rPr>
          <w:rFonts w:ascii="Calibri" w:eastAsia="Times New Roman" w:hAnsi="Calibri" w:cs="Calibri"/>
        </w:rPr>
        <w:t>The health</w:t>
      </w:r>
      <w:r w:rsidR="34313EF3">
        <w:rPr>
          <w:rFonts w:ascii="Calibri" w:eastAsia="Times New Roman" w:hAnsi="Calibri" w:cs="Calibri"/>
        </w:rPr>
        <w:t xml:space="preserve"> and </w:t>
      </w:r>
      <w:r w:rsidRPr="7C424347">
        <w:rPr>
          <w:rFonts w:ascii="Calibri" w:eastAsia="Times New Roman" w:hAnsi="Calibri" w:cs="Calibri"/>
        </w:rPr>
        <w:t xml:space="preserve">care workforce </w:t>
      </w:r>
      <w:r w:rsidR="602BFED5">
        <w:rPr>
          <w:rFonts w:ascii="Calibri" w:eastAsia="Times New Roman" w:hAnsi="Calibri" w:cs="Calibri"/>
        </w:rPr>
        <w:t xml:space="preserve">question </w:t>
      </w:r>
      <w:proofErr w:type="gramStart"/>
      <w:r w:rsidRPr="7C424347">
        <w:rPr>
          <w:rFonts w:ascii="Calibri" w:eastAsia="Times New Roman" w:hAnsi="Calibri" w:cs="Calibri"/>
        </w:rPr>
        <w:t>is</w:t>
      </w:r>
      <w:proofErr w:type="gramEnd"/>
      <w:r w:rsidRPr="7C424347">
        <w:rPr>
          <w:rFonts w:ascii="Calibri" w:eastAsia="Times New Roman" w:hAnsi="Calibri" w:cs="Calibri"/>
        </w:rPr>
        <w:t xml:space="preserve"> an essential element to address </w:t>
      </w:r>
      <w:r w:rsidR="561C3964" w:rsidRPr="7C424347">
        <w:rPr>
          <w:rFonts w:ascii="Calibri" w:eastAsia="Times New Roman" w:hAnsi="Calibri" w:cs="Calibri"/>
        </w:rPr>
        <w:t xml:space="preserve">for </w:t>
      </w:r>
      <w:r w:rsidRPr="7C424347">
        <w:rPr>
          <w:rFonts w:ascii="Calibri" w:eastAsia="Times New Roman" w:hAnsi="Calibri" w:cs="Calibri"/>
        </w:rPr>
        <w:t>the resilience of health systems</w:t>
      </w:r>
      <w:r w:rsidR="5E8ACA99">
        <w:rPr>
          <w:rFonts w:ascii="Calibri" w:eastAsia="Times New Roman" w:hAnsi="Calibri" w:cs="Calibri"/>
        </w:rPr>
        <w:t>,</w:t>
      </w:r>
      <w:r w:rsidRPr="7C424347">
        <w:rPr>
          <w:rFonts w:ascii="Calibri" w:eastAsia="Times New Roman" w:hAnsi="Calibri" w:cs="Calibri"/>
        </w:rPr>
        <w:t xml:space="preserve"> as the COVID-19 </w:t>
      </w:r>
      <w:r w:rsidR="5E8ACA99">
        <w:rPr>
          <w:rFonts w:ascii="Calibri" w:eastAsia="Times New Roman" w:hAnsi="Calibri" w:cs="Calibri"/>
        </w:rPr>
        <w:t xml:space="preserve">pandemic </w:t>
      </w:r>
      <w:r w:rsidRPr="7C424347">
        <w:rPr>
          <w:rFonts w:ascii="Calibri" w:eastAsia="Times New Roman" w:hAnsi="Calibri" w:cs="Calibri"/>
        </w:rPr>
        <w:t xml:space="preserve">has demonstrated. To face future and current challenges such as climate change, migration, antimicrobial resistance and the possibility of another pandemic, a </w:t>
      </w:r>
      <w:r w:rsidR="149520E2">
        <w:rPr>
          <w:rFonts w:ascii="Calibri" w:eastAsia="Times New Roman" w:hAnsi="Calibri" w:cs="Calibri"/>
        </w:rPr>
        <w:t>robust</w:t>
      </w:r>
      <w:r w:rsidRPr="7C424347">
        <w:rPr>
          <w:rFonts w:ascii="Calibri" w:eastAsia="Times New Roman" w:hAnsi="Calibri" w:cs="Calibri"/>
        </w:rPr>
        <w:t xml:space="preserve"> health</w:t>
      </w:r>
      <w:r w:rsidR="602BFED5">
        <w:rPr>
          <w:rFonts w:ascii="Calibri" w:eastAsia="Times New Roman" w:hAnsi="Calibri" w:cs="Calibri"/>
        </w:rPr>
        <w:t xml:space="preserve"> and </w:t>
      </w:r>
      <w:r w:rsidRPr="7C424347">
        <w:rPr>
          <w:rFonts w:ascii="Calibri" w:eastAsia="Times New Roman" w:hAnsi="Calibri" w:cs="Calibri"/>
        </w:rPr>
        <w:t>care workforce</w:t>
      </w:r>
      <w:r w:rsidR="2F2A4512">
        <w:rPr>
          <w:rFonts w:ascii="Calibri" w:eastAsia="Times New Roman" w:hAnsi="Calibri" w:cs="Calibri"/>
        </w:rPr>
        <w:t xml:space="preserve"> is needed</w:t>
      </w:r>
      <w:r w:rsidRPr="7C424347">
        <w:rPr>
          <w:rFonts w:ascii="Calibri" w:eastAsia="Times New Roman" w:hAnsi="Calibri" w:cs="Calibri"/>
        </w:rPr>
        <w:t>.</w:t>
      </w:r>
      <w:r w:rsidR="00F35AFC" w:rsidRPr="7C424347">
        <w:rPr>
          <w:rStyle w:val="FootnoteReference"/>
          <w:rFonts w:ascii="Calibri" w:eastAsia="Times New Roman" w:hAnsi="Calibri" w:cs="Calibri"/>
        </w:rPr>
        <w:footnoteReference w:id="18"/>
      </w:r>
      <w:r w:rsidRPr="7A9D8941">
        <w:rPr>
          <w:rFonts w:ascii="Calibri" w:eastAsia="Times New Roman" w:hAnsi="Calibri" w:cs="Calibri"/>
        </w:rPr>
        <w:t xml:space="preserve"> </w:t>
      </w:r>
    </w:p>
    <w:p w14:paraId="31E7FADB" w14:textId="0C2688C7" w:rsidR="00F35AFC" w:rsidRDefault="003822F4" w:rsidP="00C4796C">
      <w:pPr>
        <w:jc w:val="both"/>
        <w:rPr>
          <w:rFonts w:ascii="Calibri" w:eastAsia="Times New Roman" w:hAnsi="Calibri" w:cs="Calibri"/>
        </w:rPr>
      </w:pPr>
      <w:r>
        <w:rPr>
          <w:rFonts w:ascii="Calibri" w:eastAsia="Times New Roman" w:hAnsi="Calibri" w:cs="Calibri"/>
        </w:rPr>
        <w:t>The shortages are not only a short-term issue; it is essential to focus as well on t</w:t>
      </w:r>
      <w:r w:rsidR="0051536D" w:rsidRPr="37A5F6C3">
        <w:rPr>
          <w:rFonts w:ascii="Calibri" w:eastAsia="Times New Roman" w:hAnsi="Calibri" w:cs="Calibri"/>
        </w:rPr>
        <w:t>he long-term projections of</w:t>
      </w:r>
      <w:r>
        <w:rPr>
          <w:rFonts w:ascii="Calibri" w:eastAsia="Times New Roman" w:hAnsi="Calibri" w:cs="Calibri"/>
        </w:rPr>
        <w:t xml:space="preserve"> their</w:t>
      </w:r>
      <w:r w:rsidR="0051536D" w:rsidRPr="37A5F6C3">
        <w:rPr>
          <w:rFonts w:ascii="Calibri" w:eastAsia="Times New Roman" w:hAnsi="Calibri" w:cs="Calibri"/>
        </w:rPr>
        <w:t xml:space="preserve"> impacts.</w:t>
      </w:r>
      <w:r w:rsidR="005A40DB" w:rsidRPr="37A5F6C3">
        <w:rPr>
          <w:rFonts w:ascii="Calibri" w:eastAsia="Times New Roman" w:hAnsi="Calibri" w:cs="Calibri"/>
        </w:rPr>
        <w:t xml:space="preserve"> </w:t>
      </w:r>
      <w:r w:rsidR="00D5122E" w:rsidRPr="37A5F6C3">
        <w:rPr>
          <w:rFonts w:ascii="Calibri" w:eastAsia="Times New Roman" w:hAnsi="Calibri" w:cs="Calibri"/>
        </w:rPr>
        <w:t xml:space="preserve">The risk of inaction on workforce shortages will be borne by future generations, and policymakers should act now on the issue. </w:t>
      </w:r>
      <w:r w:rsidR="007B7BF5">
        <w:t>F</w:t>
      </w:r>
      <w:r w:rsidR="00250CF1">
        <w:t>or instance</w:t>
      </w:r>
      <w:r w:rsidR="007B7BF5">
        <w:t xml:space="preserve">, </w:t>
      </w:r>
      <w:r w:rsidR="007B7BF5" w:rsidRPr="37A5F6C3">
        <w:rPr>
          <w:rFonts w:ascii="Calibri" w:eastAsia="Times New Roman" w:hAnsi="Calibri" w:cs="Calibri"/>
        </w:rPr>
        <w:t>shortages in the public health workforce mean that children and families are less likely to receive their mandatory contacts</w:t>
      </w:r>
      <w:r w:rsidR="001B6C38">
        <w:rPr>
          <w:rFonts w:ascii="Calibri" w:eastAsia="Times New Roman" w:hAnsi="Calibri" w:cs="Calibri"/>
        </w:rPr>
        <w:t xml:space="preserve"> </w:t>
      </w:r>
      <w:r w:rsidR="110BBE5B" w:rsidRPr="343BD900">
        <w:rPr>
          <w:rFonts w:ascii="Calibri" w:eastAsia="Times New Roman" w:hAnsi="Calibri" w:cs="Calibri"/>
        </w:rPr>
        <w:t>and primary care</w:t>
      </w:r>
      <w:r w:rsidR="001B6C38" w:rsidRPr="343BD900">
        <w:rPr>
          <w:rFonts w:ascii="Calibri" w:eastAsia="Times New Roman" w:hAnsi="Calibri" w:cs="Calibri"/>
        </w:rPr>
        <w:t xml:space="preserve"> </w:t>
      </w:r>
      <w:r w:rsidR="001B6C38">
        <w:rPr>
          <w:rFonts w:ascii="Calibri" w:eastAsia="Times New Roman" w:hAnsi="Calibri" w:cs="Calibri"/>
        </w:rPr>
        <w:t xml:space="preserve">in early years. </w:t>
      </w:r>
      <w:r w:rsidR="629B23EF" w:rsidRPr="6CF169B1">
        <w:rPr>
          <w:rFonts w:ascii="Calibri" w:eastAsia="Times New Roman" w:hAnsi="Calibri" w:cs="Calibri"/>
        </w:rPr>
        <w:t>Consequently,</w:t>
      </w:r>
      <w:r w:rsidR="007B7BF5" w:rsidRPr="37A5F6C3">
        <w:rPr>
          <w:rFonts w:ascii="Calibri" w:eastAsia="Times New Roman" w:hAnsi="Calibri" w:cs="Calibri"/>
        </w:rPr>
        <w:t xml:space="preserve"> opportunities for intervention and safeguarding are missed, likely having a long-term impact on the child</w:t>
      </w:r>
      <w:r w:rsidR="00497070">
        <w:rPr>
          <w:rFonts w:ascii="Calibri" w:eastAsia="Times New Roman" w:hAnsi="Calibri" w:cs="Calibri"/>
        </w:rPr>
        <w:t>ren</w:t>
      </w:r>
      <w:r w:rsidR="007B7BF5" w:rsidRPr="37A5F6C3">
        <w:rPr>
          <w:rFonts w:ascii="Calibri" w:eastAsia="Times New Roman" w:hAnsi="Calibri" w:cs="Calibri"/>
        </w:rPr>
        <w:t>’s health outcomes.</w:t>
      </w:r>
      <w:r w:rsidR="63826369" w:rsidRPr="37A5F6C3">
        <w:rPr>
          <w:rFonts w:ascii="Calibri" w:eastAsia="Times New Roman" w:hAnsi="Calibri" w:cs="Calibri"/>
        </w:rPr>
        <w:t xml:space="preserve"> </w:t>
      </w:r>
    </w:p>
    <w:p w14:paraId="32B896CC" w14:textId="59F992DB" w:rsidR="00F35AFC" w:rsidRDefault="77E278ED" w:rsidP="00C4796C">
      <w:pPr>
        <w:jc w:val="both"/>
      </w:pPr>
      <w:r>
        <w:t>Furthermore, shortages are contributing to medical desertification. According to the AHEAD project, a medical desert can be defined as “the end point of a complex process called ‘medical desertification’, that implies continuous and increasing inability of a given population to access health services in a timely and contextually relevant manner”.</w:t>
      </w:r>
      <w:r w:rsidR="22827763" w:rsidRPr="40B2C4AC">
        <w:rPr>
          <w:rStyle w:val="FootnoteReference"/>
        </w:rPr>
        <w:footnoteReference w:id="19"/>
      </w:r>
      <w:r>
        <w:t xml:space="preserve"> </w:t>
      </w:r>
      <w:r w:rsidR="2611A8DE">
        <w:t xml:space="preserve">There are medical deserts in many parts of Europe, mainly rural, </w:t>
      </w:r>
      <w:proofErr w:type="gramStart"/>
      <w:r w:rsidR="2611A8DE">
        <w:t>remote</w:t>
      </w:r>
      <w:proofErr w:type="gramEnd"/>
      <w:r w:rsidR="2611A8DE">
        <w:t xml:space="preserve"> and underserved areas, but also in densely populated ones, across all professions. </w:t>
      </w:r>
      <w:r>
        <w:t>While shortages contribute to medical desertification, medical deserts are also caused by policy mismatches (i.e., policy decisions on the availability and distribution of primary healthcare personnel, continuous professional development, for instance</w:t>
      </w:r>
      <w:r w:rsidR="22827763" w:rsidRPr="40B2C4AC">
        <w:rPr>
          <w:rStyle w:val="FootnoteReference"/>
        </w:rPr>
        <w:footnoteReference w:id="20"/>
      </w:r>
      <w:r>
        <w:t>), and lack of prioritisation of underserved areas. This has an impact on hospitals, delaying or extending the timeline for diagnosis and care, and leading to delays in critical intervention, ultimately putting pressure on the different sectors of the health and care system.</w:t>
      </w:r>
    </w:p>
    <w:p w14:paraId="0BE21CC7" w14:textId="738C1826" w:rsidR="2AE08C18" w:rsidRDefault="52F5520A" w:rsidP="00C4796C">
      <w:pPr>
        <w:jc w:val="both"/>
        <w:rPr>
          <w:rStyle w:val="FootnoteReference"/>
          <w:rFonts w:ascii="Calibri" w:eastAsia="Times New Roman" w:hAnsi="Calibri" w:cs="Calibri"/>
          <w:vertAlign w:val="baseline"/>
        </w:rPr>
      </w:pPr>
      <w:r w:rsidRPr="2AE08C18">
        <w:rPr>
          <w:rFonts w:ascii="Calibri" w:eastAsia="Times New Roman" w:hAnsi="Calibri" w:cs="Calibri"/>
        </w:rPr>
        <w:t>Moreover</w:t>
      </w:r>
      <w:r w:rsidR="63826369" w:rsidRPr="2AE08C18">
        <w:rPr>
          <w:rFonts w:ascii="Calibri" w:eastAsia="Times New Roman" w:hAnsi="Calibri" w:cs="Calibri"/>
        </w:rPr>
        <w:t xml:space="preserve">, there is a risk of </w:t>
      </w:r>
      <w:r w:rsidR="598ED3AC" w:rsidRPr="2AE08C18">
        <w:rPr>
          <w:rFonts w:ascii="Calibri" w:eastAsia="Times New Roman" w:hAnsi="Calibri" w:cs="Calibri"/>
        </w:rPr>
        <w:t xml:space="preserve">getting </w:t>
      </w:r>
      <w:r w:rsidR="63826369" w:rsidRPr="2AE08C18">
        <w:rPr>
          <w:rFonts w:ascii="Calibri" w:eastAsia="Times New Roman" w:hAnsi="Calibri" w:cs="Calibri"/>
        </w:rPr>
        <w:t>stuck in a downward spiral</w:t>
      </w:r>
      <w:r w:rsidR="7F810635" w:rsidRPr="2AE08C18">
        <w:rPr>
          <w:rFonts w:ascii="Calibri" w:eastAsia="Times New Roman" w:hAnsi="Calibri" w:cs="Calibri"/>
        </w:rPr>
        <w:t xml:space="preserve"> as</w:t>
      </w:r>
      <w:r w:rsidR="3F966142" w:rsidRPr="00AB4C30">
        <w:rPr>
          <w:rFonts w:ascii="Calibri" w:eastAsia="Times New Roman" w:hAnsi="Calibri" w:cs="Calibri"/>
        </w:rPr>
        <w:t xml:space="preserve"> understaffing lead</w:t>
      </w:r>
      <w:r w:rsidR="1AFE5F97" w:rsidRPr="00AB4C30">
        <w:rPr>
          <w:rFonts w:ascii="Calibri" w:eastAsia="Times New Roman" w:hAnsi="Calibri" w:cs="Calibri"/>
        </w:rPr>
        <w:t>s</w:t>
      </w:r>
      <w:r w:rsidR="3F966142" w:rsidRPr="00AB4C30">
        <w:rPr>
          <w:rFonts w:ascii="Calibri" w:eastAsia="Times New Roman" w:hAnsi="Calibri" w:cs="Calibri"/>
        </w:rPr>
        <w:t xml:space="preserve"> to worsened working conditions, </w:t>
      </w:r>
      <w:r w:rsidR="26CBF4A4" w:rsidRPr="00AB4C30">
        <w:rPr>
          <w:rFonts w:ascii="Calibri" w:eastAsia="Times New Roman" w:hAnsi="Calibri" w:cs="Calibri"/>
        </w:rPr>
        <w:t>leading</w:t>
      </w:r>
      <w:r w:rsidR="00842D8A" w:rsidRPr="00AB4C30">
        <w:rPr>
          <w:rFonts w:ascii="Calibri" w:eastAsia="Times New Roman" w:hAnsi="Calibri" w:cs="Calibri"/>
        </w:rPr>
        <w:t xml:space="preserve"> in turn</w:t>
      </w:r>
      <w:r w:rsidR="26CBF4A4" w:rsidRPr="00AB4C30">
        <w:rPr>
          <w:rFonts w:ascii="Calibri" w:eastAsia="Times New Roman" w:hAnsi="Calibri" w:cs="Calibri"/>
        </w:rPr>
        <w:t xml:space="preserve"> to </w:t>
      </w:r>
      <w:r w:rsidR="0B1C0AC9" w:rsidRPr="00AB4C30">
        <w:rPr>
          <w:rFonts w:ascii="Calibri" w:eastAsia="Times New Roman" w:hAnsi="Calibri" w:cs="Calibri"/>
        </w:rPr>
        <w:t>increased employee attrition</w:t>
      </w:r>
      <w:r w:rsidR="28164D8C" w:rsidRPr="00AB4C30">
        <w:rPr>
          <w:rFonts w:ascii="Calibri" w:eastAsia="Times New Roman" w:hAnsi="Calibri" w:cs="Calibri"/>
        </w:rPr>
        <w:t xml:space="preserve"> and </w:t>
      </w:r>
      <w:r w:rsidR="03E624F8" w:rsidRPr="00AB4C30">
        <w:rPr>
          <w:rFonts w:ascii="Calibri" w:eastAsia="Times New Roman" w:hAnsi="Calibri" w:cs="Calibri"/>
        </w:rPr>
        <w:t>a further</w:t>
      </w:r>
      <w:r w:rsidR="28164D8C" w:rsidRPr="00AB4C30">
        <w:rPr>
          <w:rFonts w:ascii="Calibri" w:eastAsia="Times New Roman" w:hAnsi="Calibri" w:cs="Calibri"/>
        </w:rPr>
        <w:t xml:space="preserve"> decrease in staff</w:t>
      </w:r>
      <w:r w:rsidR="0B1C0AC9" w:rsidRPr="00AB4C30">
        <w:rPr>
          <w:rFonts w:ascii="Calibri" w:eastAsia="Times New Roman" w:hAnsi="Calibri" w:cs="Calibri"/>
        </w:rPr>
        <w:t>.</w:t>
      </w:r>
      <w:r w:rsidR="025BFCB0" w:rsidRPr="00AB4C30">
        <w:rPr>
          <w:rStyle w:val="FootnoteReference"/>
          <w:rFonts w:ascii="Calibri" w:eastAsia="Times New Roman" w:hAnsi="Calibri" w:cs="Calibri"/>
        </w:rPr>
        <w:footnoteReference w:id="21"/>
      </w:r>
      <w:r w:rsidR="012F3F55" w:rsidRPr="00AB4C30">
        <w:rPr>
          <w:rStyle w:val="FootnoteReference"/>
          <w:rFonts w:ascii="Calibri" w:eastAsia="Times New Roman" w:hAnsi="Calibri" w:cs="Calibri"/>
        </w:rPr>
        <w:t xml:space="preserve"> </w:t>
      </w:r>
      <w:r w:rsidR="384E1EAF" w:rsidRPr="00AB4C30">
        <w:rPr>
          <w:rStyle w:val="FootnoteReference"/>
          <w:rFonts w:ascii="Calibri" w:eastAsia="Times New Roman" w:hAnsi="Calibri" w:cs="Calibri"/>
          <w:vertAlign w:val="baseline"/>
        </w:rPr>
        <w:t>These conditions are also undermining the attractiveness of the health</w:t>
      </w:r>
      <w:r w:rsidR="00D57C11">
        <w:rPr>
          <w:rFonts w:ascii="Calibri" w:eastAsia="Times New Roman" w:hAnsi="Calibri" w:cs="Calibri"/>
        </w:rPr>
        <w:t xml:space="preserve"> and </w:t>
      </w:r>
      <w:r w:rsidR="384E1EAF" w:rsidRPr="00AB4C30">
        <w:rPr>
          <w:rStyle w:val="FootnoteReference"/>
          <w:rFonts w:ascii="Calibri" w:eastAsia="Times New Roman" w:hAnsi="Calibri" w:cs="Calibri"/>
          <w:vertAlign w:val="baseline"/>
        </w:rPr>
        <w:t>care sector, discouraging s</w:t>
      </w:r>
      <w:r w:rsidR="428B0A29" w:rsidRPr="00AB4C30">
        <w:rPr>
          <w:rStyle w:val="FootnoteReference"/>
          <w:rFonts w:ascii="Calibri" w:eastAsia="Times New Roman" w:hAnsi="Calibri" w:cs="Calibri"/>
          <w:vertAlign w:val="baseline"/>
        </w:rPr>
        <w:t xml:space="preserve">tudents and candidates from </w:t>
      </w:r>
      <w:r w:rsidR="6E805E50" w:rsidRPr="00AB4C30">
        <w:rPr>
          <w:rStyle w:val="FootnoteReference"/>
          <w:rFonts w:ascii="Calibri" w:eastAsia="Times New Roman" w:hAnsi="Calibri" w:cs="Calibri"/>
          <w:vertAlign w:val="baseline"/>
        </w:rPr>
        <w:t>becoming health</w:t>
      </w:r>
      <w:r w:rsidR="00D57C11">
        <w:rPr>
          <w:rFonts w:ascii="Calibri" w:eastAsia="Times New Roman" w:hAnsi="Calibri" w:cs="Calibri"/>
        </w:rPr>
        <w:t xml:space="preserve"> and </w:t>
      </w:r>
      <w:r w:rsidR="6E805E50" w:rsidRPr="00AB4C30">
        <w:rPr>
          <w:rStyle w:val="FootnoteReference"/>
          <w:rFonts w:ascii="Calibri" w:eastAsia="Times New Roman" w:hAnsi="Calibri" w:cs="Calibri"/>
          <w:vertAlign w:val="baseline"/>
        </w:rPr>
        <w:t xml:space="preserve">care workers. </w:t>
      </w:r>
      <w:r w:rsidR="294FD9F2" w:rsidRPr="249CB469">
        <w:rPr>
          <w:rStyle w:val="FootnoteReference"/>
          <w:rFonts w:ascii="Calibri" w:eastAsia="Times New Roman" w:hAnsi="Calibri" w:cs="Calibri"/>
          <w:vertAlign w:val="baseline"/>
        </w:rPr>
        <w:t>At the same time</w:t>
      </w:r>
      <w:r w:rsidR="5E5A59DE" w:rsidRPr="00AB4C30">
        <w:rPr>
          <w:rStyle w:val="FootnoteReference"/>
          <w:rFonts w:ascii="Calibri" w:eastAsia="Times New Roman" w:hAnsi="Calibri" w:cs="Calibri"/>
          <w:vertAlign w:val="baseline"/>
        </w:rPr>
        <w:t xml:space="preserve">, work-life balance, fair remuneration and career opportunities are </w:t>
      </w:r>
      <w:r w:rsidR="3A039C0E" w:rsidRPr="00AB4C30">
        <w:rPr>
          <w:rStyle w:val="FootnoteReference"/>
          <w:rFonts w:ascii="Calibri" w:eastAsia="Times New Roman" w:hAnsi="Calibri" w:cs="Calibri"/>
          <w:vertAlign w:val="baseline"/>
        </w:rPr>
        <w:t>increasingly</w:t>
      </w:r>
      <w:r w:rsidR="5E5A59DE" w:rsidRPr="00AB4C30">
        <w:rPr>
          <w:rStyle w:val="FootnoteReference"/>
          <w:rFonts w:ascii="Calibri" w:eastAsia="Times New Roman" w:hAnsi="Calibri" w:cs="Calibri"/>
          <w:vertAlign w:val="baseline"/>
        </w:rPr>
        <w:t xml:space="preserve"> </w:t>
      </w:r>
      <w:r w:rsidR="335BA569" w:rsidRPr="00AB4C30">
        <w:rPr>
          <w:rStyle w:val="FootnoteReference"/>
          <w:rFonts w:ascii="Calibri" w:eastAsia="Times New Roman" w:hAnsi="Calibri" w:cs="Calibri"/>
          <w:vertAlign w:val="baseline"/>
        </w:rPr>
        <w:t>valued</w:t>
      </w:r>
      <w:r w:rsidR="5E5A59DE" w:rsidRPr="00AB4C30">
        <w:rPr>
          <w:rStyle w:val="FootnoteReference"/>
          <w:rFonts w:ascii="Calibri" w:eastAsia="Times New Roman" w:hAnsi="Calibri" w:cs="Calibri"/>
          <w:vertAlign w:val="baseline"/>
        </w:rPr>
        <w:t xml:space="preserve"> factors</w:t>
      </w:r>
      <w:r w:rsidR="66FEE516" w:rsidRPr="00AB4C30">
        <w:rPr>
          <w:rStyle w:val="FootnoteReference"/>
          <w:rFonts w:ascii="Calibri" w:eastAsia="Times New Roman" w:hAnsi="Calibri" w:cs="Calibri"/>
          <w:vertAlign w:val="baseline"/>
        </w:rPr>
        <w:t xml:space="preserve"> among </w:t>
      </w:r>
      <w:r w:rsidR="66FEE516" w:rsidRPr="5302EBFE">
        <w:rPr>
          <w:rStyle w:val="FootnoteReference"/>
          <w:rFonts w:ascii="Calibri" w:eastAsia="Times New Roman" w:hAnsi="Calibri" w:cs="Calibri"/>
          <w:vertAlign w:val="baseline"/>
        </w:rPr>
        <w:t>w</w:t>
      </w:r>
      <w:r w:rsidR="3041B441" w:rsidRPr="5302EBFE">
        <w:rPr>
          <w:rStyle w:val="FootnoteReference"/>
          <w:rFonts w:ascii="Calibri" w:eastAsia="Times New Roman" w:hAnsi="Calibri" w:cs="Calibri"/>
          <w:vertAlign w:val="baseline"/>
        </w:rPr>
        <w:t>orkers</w:t>
      </w:r>
      <w:r w:rsidR="339D05AA" w:rsidRPr="00AB4C30">
        <w:rPr>
          <w:rStyle w:val="FootnoteReference"/>
          <w:rFonts w:ascii="Calibri" w:eastAsia="Times New Roman" w:hAnsi="Calibri" w:cs="Calibri"/>
          <w:vertAlign w:val="baseline"/>
        </w:rPr>
        <w:t>.</w:t>
      </w:r>
      <w:r w:rsidR="025BFCB0" w:rsidRPr="00AB4C30">
        <w:rPr>
          <w:rStyle w:val="FootnoteReference"/>
          <w:rFonts w:ascii="Calibri" w:eastAsia="Times New Roman" w:hAnsi="Calibri" w:cs="Calibri"/>
        </w:rPr>
        <w:footnoteReference w:id="22"/>
      </w:r>
    </w:p>
    <w:p w14:paraId="2C4002B6" w14:textId="62335366" w:rsidR="00502179" w:rsidRDefault="00885CF2" w:rsidP="00EA6F38">
      <w:pPr>
        <w:pStyle w:val="Heading4"/>
        <w:numPr>
          <w:ilvl w:val="2"/>
          <w:numId w:val="38"/>
        </w:numPr>
        <w:spacing w:before="120" w:after="120"/>
        <w:ind w:left="1077"/>
      </w:pPr>
      <w:r>
        <w:t>Workforce mobility</w:t>
      </w:r>
    </w:p>
    <w:p w14:paraId="476584B8" w14:textId="259A0785" w:rsidR="4986DC41" w:rsidRDefault="105A802B" w:rsidP="00C4796C">
      <w:pPr>
        <w:jc w:val="both"/>
        <w:rPr>
          <w:rFonts w:eastAsia="Times New Roman"/>
        </w:rPr>
      </w:pPr>
      <w:r w:rsidRPr="7111E027">
        <w:rPr>
          <w:rFonts w:eastAsia="Times New Roman"/>
        </w:rPr>
        <w:t>Some European countries are highly reliant on international recruitment to fill vacancies in their health systems. High levels of outmigration of health and care workers can contribute to workforce shortages in source countries</w:t>
      </w:r>
      <w:r w:rsidR="4C38DAFE" w:rsidRPr="7111E027">
        <w:rPr>
          <w:rFonts w:eastAsia="Times New Roman"/>
        </w:rPr>
        <w:t xml:space="preserve"> and create </w:t>
      </w:r>
      <w:r w:rsidR="4C38DAFE">
        <w:t>imbalances across Europe.</w:t>
      </w:r>
      <w:r w:rsidR="0E452DA3">
        <w:t xml:space="preserve"> Some countries have developed active recruitment strategies for long-term care professionals from Eastern Europe and EU candidate countries. Countries </w:t>
      </w:r>
      <w:r w:rsidR="6524BF73">
        <w:t xml:space="preserve">such </w:t>
      </w:r>
      <w:r w:rsidR="0E452DA3">
        <w:t>as Romania, Bulgaria or Poland now fac</w:t>
      </w:r>
      <w:r w:rsidR="083526B4">
        <w:t>e</w:t>
      </w:r>
      <w:r w:rsidR="0E452DA3">
        <w:t xml:space="preserve"> high</w:t>
      </w:r>
      <w:r w:rsidR="00076FB8">
        <w:t xml:space="preserve"> workforce</w:t>
      </w:r>
      <w:r w:rsidR="0E452DA3">
        <w:t xml:space="preserve"> attrition rates as a result</w:t>
      </w:r>
      <w:r w:rsidR="0006576F">
        <w:t>.</w:t>
      </w:r>
      <w:r w:rsidR="4986DC41" w:rsidRPr="7111E027">
        <w:rPr>
          <w:rStyle w:val="FootnoteReference"/>
        </w:rPr>
        <w:footnoteReference w:id="23"/>
      </w:r>
      <w:r w:rsidR="3D1FAD77" w:rsidRPr="7111E027">
        <w:rPr>
          <w:rFonts w:eastAsia="Times New Roman"/>
        </w:rPr>
        <w:t xml:space="preserve"> </w:t>
      </w:r>
      <w:r w:rsidR="003222AF">
        <w:rPr>
          <w:rFonts w:eastAsia="Times New Roman"/>
        </w:rPr>
        <w:t xml:space="preserve">In addition to </w:t>
      </w:r>
      <w:r w:rsidR="003C59C5">
        <w:rPr>
          <w:rFonts w:eastAsia="Times New Roman"/>
        </w:rPr>
        <w:t xml:space="preserve">creating further </w:t>
      </w:r>
      <w:r w:rsidR="003222AF">
        <w:rPr>
          <w:rFonts w:eastAsia="Times New Roman"/>
        </w:rPr>
        <w:t xml:space="preserve">shortages, this can in turn </w:t>
      </w:r>
      <w:r w:rsidR="35DFB318" w:rsidRPr="658C44FB">
        <w:rPr>
          <w:rFonts w:eastAsia="Times New Roman"/>
        </w:rPr>
        <w:t>have</w:t>
      </w:r>
      <w:r w:rsidR="003222AF">
        <w:rPr>
          <w:rFonts w:eastAsia="Times New Roman"/>
        </w:rPr>
        <w:t xml:space="preserve"> an impact on access to healthcare for </w:t>
      </w:r>
      <w:r w:rsidR="00220FA2">
        <w:rPr>
          <w:rFonts w:eastAsia="Times New Roman"/>
        </w:rPr>
        <w:t>citizens.</w:t>
      </w:r>
      <w:r w:rsidR="00220FA2">
        <w:rPr>
          <w:rStyle w:val="FootnoteReference"/>
          <w:rFonts w:eastAsia="Times New Roman"/>
        </w:rPr>
        <w:footnoteReference w:id="24"/>
      </w:r>
      <w:r w:rsidR="00220FA2">
        <w:rPr>
          <w:rFonts w:eastAsia="Times New Roman"/>
        </w:rPr>
        <w:t xml:space="preserve"> </w:t>
      </w:r>
      <w:r w:rsidR="3D1FAD77" w:rsidRPr="7111E027">
        <w:rPr>
          <w:rFonts w:eastAsia="Times New Roman"/>
        </w:rPr>
        <w:t xml:space="preserve">In the long term, these mobility flows also risk disincentivising government funding for education and training in both source and destination countries, compromising </w:t>
      </w:r>
      <w:r w:rsidR="00037490">
        <w:rPr>
          <w:rFonts w:eastAsia="Times New Roman"/>
        </w:rPr>
        <w:t xml:space="preserve">the availability of </w:t>
      </w:r>
      <w:r w:rsidR="3D1FAD77" w:rsidRPr="7111E027">
        <w:rPr>
          <w:rFonts w:eastAsia="Times New Roman"/>
        </w:rPr>
        <w:t>workforce</w:t>
      </w:r>
      <w:r w:rsidR="00037490">
        <w:rPr>
          <w:rFonts w:eastAsia="Times New Roman"/>
        </w:rPr>
        <w:t xml:space="preserve"> in the future</w:t>
      </w:r>
      <w:r w:rsidR="3D1FAD77" w:rsidRPr="7111E027">
        <w:rPr>
          <w:rFonts w:eastAsia="Times New Roman"/>
        </w:rPr>
        <w:t>. Furthermore, t</w:t>
      </w:r>
      <w:r w:rsidR="7C16E54D" w:rsidRPr="7111E027">
        <w:rPr>
          <w:rFonts w:eastAsia="Times New Roman"/>
        </w:rPr>
        <w:t>he migration of health workers needs to be looked at on a global level, with low- and lower-middle-income countries representing about one third of foreign-trained health and care workers.</w:t>
      </w:r>
      <w:r w:rsidR="4986DC41" w:rsidRPr="7111E027">
        <w:rPr>
          <w:rStyle w:val="FootnoteReference"/>
          <w:rFonts w:eastAsia="Times New Roman"/>
        </w:rPr>
        <w:footnoteReference w:id="25"/>
      </w:r>
    </w:p>
    <w:p w14:paraId="2005E323" w14:textId="38BFCA1D" w:rsidR="001E0E56" w:rsidRDefault="105A802B" w:rsidP="00C4796C">
      <w:pPr>
        <w:jc w:val="both"/>
        <w:rPr>
          <w:rFonts w:eastAsia="Times New Roman"/>
        </w:rPr>
      </w:pPr>
      <w:r>
        <w:rPr>
          <w:rFonts w:eastAsia="Times New Roman"/>
        </w:rPr>
        <w:t>Strengthened international partnerships are needed to ensure that m</w:t>
      </w:r>
      <w:r w:rsidR="3419727A">
        <w:rPr>
          <w:rFonts w:eastAsia="Times New Roman"/>
        </w:rPr>
        <w:t>obility</w:t>
      </w:r>
      <w:r>
        <w:rPr>
          <w:rFonts w:eastAsia="Times New Roman"/>
        </w:rPr>
        <w:t xml:space="preserve"> is mutually beneficial to both source and destination countries, including the use of skills partnerships or other compensatory mechanisms. </w:t>
      </w:r>
      <w:r w:rsidR="135CD099">
        <w:rPr>
          <w:rFonts w:eastAsia="Times New Roman"/>
        </w:rPr>
        <w:t>E</w:t>
      </w:r>
      <w:r w:rsidRPr="00A94BFB">
        <w:rPr>
          <w:rFonts w:eastAsia="Times New Roman"/>
        </w:rPr>
        <w:t>xamples</w:t>
      </w:r>
      <w:r>
        <w:rPr>
          <w:rFonts w:eastAsia="Times New Roman"/>
        </w:rPr>
        <w:t xml:space="preserve"> of projects to facilitate </w:t>
      </w:r>
      <w:r w:rsidR="746B570A">
        <w:rPr>
          <w:rFonts w:eastAsia="Times New Roman"/>
        </w:rPr>
        <w:t xml:space="preserve">and efficiently </w:t>
      </w:r>
      <w:r>
        <w:rPr>
          <w:rFonts w:eastAsia="Times New Roman"/>
        </w:rPr>
        <w:t>manage international m</w:t>
      </w:r>
      <w:r w:rsidR="0EBF320F">
        <w:rPr>
          <w:rFonts w:eastAsia="Times New Roman"/>
        </w:rPr>
        <w:t>obility</w:t>
      </w:r>
      <w:r>
        <w:rPr>
          <w:rFonts w:eastAsia="Times New Roman"/>
        </w:rPr>
        <w:t xml:space="preserve"> of health workers already exist in Europe, e.g. Germany’s Triple Win Programme</w:t>
      </w:r>
      <w:r w:rsidR="00D026E7">
        <w:rPr>
          <w:rStyle w:val="FootnoteReference"/>
          <w:rFonts w:eastAsia="Times New Roman"/>
        </w:rPr>
        <w:footnoteReference w:id="26"/>
      </w:r>
      <w:r>
        <w:rPr>
          <w:rFonts w:eastAsia="Times New Roman"/>
        </w:rPr>
        <w:t>,</w:t>
      </w:r>
      <w:r w:rsidRPr="00A94BFB">
        <w:rPr>
          <w:rFonts w:eastAsia="Times New Roman"/>
        </w:rPr>
        <w:t xml:space="preserve"> </w:t>
      </w:r>
      <w:r w:rsidR="3F73A73B">
        <w:rPr>
          <w:rFonts w:eastAsia="Times New Roman"/>
        </w:rPr>
        <w:t>recruiting nurses from countries with surpluses</w:t>
      </w:r>
      <w:r w:rsidR="5A6C7826">
        <w:rPr>
          <w:rFonts w:eastAsia="Times New Roman"/>
        </w:rPr>
        <w:t>.</w:t>
      </w:r>
      <w:r w:rsidR="0030400E">
        <w:rPr>
          <w:rFonts w:eastAsia="Times New Roman"/>
        </w:rPr>
        <w:t xml:space="preserve"> </w:t>
      </w:r>
      <w:r w:rsidR="7FD79376">
        <w:rPr>
          <w:rFonts w:eastAsia="Times New Roman"/>
        </w:rPr>
        <w:t>W</w:t>
      </w:r>
      <w:r w:rsidR="109B3883">
        <w:rPr>
          <w:rFonts w:eastAsia="Times New Roman"/>
        </w:rPr>
        <w:t>hile</w:t>
      </w:r>
      <w:r w:rsidR="70166DB3">
        <w:rPr>
          <w:rFonts w:eastAsia="Times New Roman"/>
        </w:rPr>
        <w:t xml:space="preserve"> the project has recruited more than 4.300 nurses </w:t>
      </w:r>
      <w:r w:rsidR="7545F5B4">
        <w:rPr>
          <w:rFonts w:eastAsia="Times New Roman"/>
        </w:rPr>
        <w:t>between</w:t>
      </w:r>
      <w:r w:rsidR="69BDF0B0">
        <w:rPr>
          <w:rFonts w:eastAsia="Times New Roman"/>
        </w:rPr>
        <w:t xml:space="preserve"> 2013 </w:t>
      </w:r>
      <w:r w:rsidR="54862D1C">
        <w:rPr>
          <w:rFonts w:eastAsia="Times New Roman"/>
        </w:rPr>
        <w:t xml:space="preserve">and </w:t>
      </w:r>
      <w:r w:rsidR="69BDF0B0">
        <w:rPr>
          <w:rFonts w:eastAsia="Times New Roman"/>
        </w:rPr>
        <w:t>2018</w:t>
      </w:r>
      <w:r w:rsidR="00485B10">
        <w:rPr>
          <w:rStyle w:val="FootnoteReference"/>
          <w:rFonts w:eastAsia="Times New Roman"/>
        </w:rPr>
        <w:footnoteReference w:id="27"/>
      </w:r>
      <w:r w:rsidR="109B3883">
        <w:rPr>
          <w:rFonts w:eastAsia="Times New Roman"/>
        </w:rPr>
        <w:t xml:space="preserve">, more lessons should be drawn on the benefits for the workers. </w:t>
      </w:r>
      <w:r w:rsidR="317C2F40">
        <w:rPr>
          <w:rFonts w:eastAsia="Times New Roman"/>
        </w:rPr>
        <w:t>Further projects should be developed by European countries</w:t>
      </w:r>
      <w:r w:rsidR="4416961D">
        <w:rPr>
          <w:rFonts w:eastAsia="Times New Roman"/>
        </w:rPr>
        <w:t>,</w:t>
      </w:r>
      <w:r w:rsidR="317C2F40">
        <w:rPr>
          <w:rFonts w:eastAsia="Times New Roman"/>
        </w:rPr>
        <w:t xml:space="preserve"> but they should ensure that </w:t>
      </w:r>
      <w:r w:rsidR="207B33D2">
        <w:rPr>
          <w:rFonts w:eastAsia="Times New Roman"/>
        </w:rPr>
        <w:t xml:space="preserve">the health </w:t>
      </w:r>
      <w:r w:rsidR="00BF4C8E">
        <w:rPr>
          <w:rFonts w:eastAsia="Times New Roman"/>
        </w:rPr>
        <w:t xml:space="preserve">and care </w:t>
      </w:r>
      <w:r w:rsidR="207B33D2">
        <w:rPr>
          <w:rFonts w:eastAsia="Times New Roman"/>
        </w:rPr>
        <w:t xml:space="preserve">workers’ voices are heard and considered </w:t>
      </w:r>
      <w:r w:rsidR="4741A1C8">
        <w:rPr>
          <w:rFonts w:eastAsia="Times New Roman"/>
        </w:rPr>
        <w:t xml:space="preserve">throughout </w:t>
      </w:r>
      <w:r w:rsidR="207B33D2">
        <w:rPr>
          <w:rFonts w:eastAsia="Times New Roman"/>
        </w:rPr>
        <w:t>the process.</w:t>
      </w:r>
    </w:p>
    <w:p w14:paraId="2D5D5CD8" w14:textId="62D626F3" w:rsidR="004F04B9" w:rsidRPr="00F92EF0" w:rsidRDefault="14267B05" w:rsidP="00C4796C">
      <w:pPr>
        <w:jc w:val="both"/>
        <w:rPr>
          <w:vertAlign w:val="superscript"/>
        </w:rPr>
      </w:pPr>
      <w:r>
        <w:t>Moreover, i</w:t>
      </w:r>
      <w:r w:rsidR="70E35E05">
        <w:t xml:space="preserve">mplementation of the WHO </w:t>
      </w:r>
      <w:r w:rsidR="5F3A32AD">
        <w:t xml:space="preserve">Global </w:t>
      </w:r>
      <w:r w:rsidR="70E35E05">
        <w:t>Code of Practice on the International Recruitment of Health Personnel</w:t>
      </w:r>
      <w:r w:rsidR="00502179" w:rsidRPr="7111E027">
        <w:rPr>
          <w:rStyle w:val="FootnoteReference"/>
        </w:rPr>
        <w:footnoteReference w:id="28"/>
      </w:r>
      <w:r w:rsidR="70E35E05">
        <w:t xml:space="preserve"> is key to achieving European and global public health goals. However, in the most recent round of reporting, only 24 </w:t>
      </w:r>
      <w:r w:rsidR="1A915BF1">
        <w:t>out of</w:t>
      </w:r>
      <w:r w:rsidR="70E35E05">
        <w:t xml:space="preserve"> 49 designated national authorities within the WHO European </w:t>
      </w:r>
      <w:r w:rsidR="7E3B8FEB">
        <w:t>R</w:t>
      </w:r>
      <w:r w:rsidR="70E35E05" w:rsidRPr="00A94BFB">
        <w:t>egion</w:t>
      </w:r>
      <w:r w:rsidR="70E35E05">
        <w:t xml:space="preserve"> submitted national implementation reports to the WHO</w:t>
      </w:r>
      <w:r w:rsidR="4E3AC5D6">
        <w:t>. This represents</w:t>
      </w:r>
      <w:r w:rsidR="70E35E05">
        <w:t xml:space="preserve"> the lowest level of engagement since reporting began</w:t>
      </w:r>
      <w:r w:rsidR="08113E6B">
        <w:t xml:space="preserve">, </w:t>
      </w:r>
      <w:r w:rsidR="5115C40B">
        <w:t>consequently</w:t>
      </w:r>
      <w:r w:rsidR="08113E6B">
        <w:t xml:space="preserve"> leading to a lack of data on the question</w:t>
      </w:r>
      <w:r w:rsidR="3EFEA6FF">
        <w:t>.</w:t>
      </w:r>
      <w:r w:rsidR="00502179" w:rsidRPr="7111E027">
        <w:rPr>
          <w:rStyle w:val="FootnoteReference"/>
        </w:rPr>
        <w:footnoteReference w:id="29"/>
      </w:r>
      <w:r w:rsidR="7E3B8FEB">
        <w:t xml:space="preserve"> </w:t>
      </w:r>
      <w:r w:rsidR="6F5FC678">
        <w:t xml:space="preserve">Reasons for the lack of reporting should be addressed, </w:t>
      </w:r>
      <w:r w:rsidR="3BC2AF91">
        <w:t>and countries encouraged to collect and provide more data.</w:t>
      </w:r>
    </w:p>
    <w:p w14:paraId="03A3F8E9" w14:textId="2929F92D" w:rsidR="001D4ED9" w:rsidRPr="00AB4C30" w:rsidRDefault="00B0016D" w:rsidP="00EA6F38">
      <w:pPr>
        <w:pStyle w:val="Heading4"/>
        <w:numPr>
          <w:ilvl w:val="2"/>
          <w:numId w:val="38"/>
        </w:numPr>
        <w:spacing w:before="120" w:after="120"/>
        <w:ind w:left="1080"/>
      </w:pPr>
      <w:r>
        <w:t>L</w:t>
      </w:r>
      <w:r w:rsidR="001D4ED9">
        <w:t xml:space="preserve">ack of </w:t>
      </w:r>
      <w:r>
        <w:t xml:space="preserve">staff </w:t>
      </w:r>
      <w:r w:rsidR="001D4ED9">
        <w:t>retention</w:t>
      </w:r>
      <w:r w:rsidR="00E0A017">
        <w:t xml:space="preserve"> and recruitment difficulties</w:t>
      </w:r>
    </w:p>
    <w:p w14:paraId="72CE93D5" w14:textId="42325210" w:rsidR="00921F35" w:rsidRPr="00CC19FD" w:rsidRDefault="42B66AB6" w:rsidP="00C4796C">
      <w:pPr>
        <w:jc w:val="both"/>
      </w:pPr>
      <w:r w:rsidRPr="00E02956">
        <w:t xml:space="preserve">There are more people leaving the </w:t>
      </w:r>
      <w:r w:rsidR="7BA90530">
        <w:t>health</w:t>
      </w:r>
      <w:r w:rsidR="76F01882">
        <w:t xml:space="preserve"> and care sector</w:t>
      </w:r>
      <w:r w:rsidR="7BA90530">
        <w:t xml:space="preserve"> </w:t>
      </w:r>
      <w:r w:rsidRPr="00E02956">
        <w:t xml:space="preserve">than entering the workforce. </w:t>
      </w:r>
      <w:r w:rsidR="00EF376C">
        <w:t>Staff r</w:t>
      </w:r>
      <w:r w:rsidR="539F927F">
        <w:t xml:space="preserve">etention </w:t>
      </w:r>
      <w:r w:rsidR="00EF376C">
        <w:t xml:space="preserve">issues </w:t>
      </w:r>
      <w:r w:rsidR="539F927F">
        <w:t>and the persistence of health</w:t>
      </w:r>
      <w:r w:rsidR="602BFED5">
        <w:t xml:space="preserve"> and </w:t>
      </w:r>
      <w:r w:rsidR="539F927F">
        <w:t xml:space="preserve">care workforce shortages </w:t>
      </w:r>
      <w:r w:rsidR="007C27CF">
        <w:t>can</w:t>
      </w:r>
      <w:r w:rsidR="539F927F">
        <w:t xml:space="preserve"> be </w:t>
      </w:r>
      <w:r w:rsidR="661F1E31">
        <w:t xml:space="preserve">partly </w:t>
      </w:r>
      <w:r w:rsidR="539F927F">
        <w:t xml:space="preserve">explained by the difficult working conditions and low salaries. Indeed, nurses and doctors report higher work strain than the EU average (30%), with a level of job strain reaching 61% and 43% respectively. Furthermore, </w:t>
      </w:r>
      <w:r w:rsidR="00DB6F41">
        <w:t xml:space="preserve">nurses (69%) and doctors (51%) were </w:t>
      </w:r>
      <w:r w:rsidR="539F927F">
        <w:t xml:space="preserve">among the </w:t>
      </w:r>
      <w:r w:rsidR="00024A73">
        <w:t xml:space="preserve">professions reporting the </w:t>
      </w:r>
      <w:r w:rsidR="539F927F">
        <w:t>highest levels of health and safety risks at work. Regarding salaries, among nurses</w:t>
      </w:r>
      <w:r w:rsidR="00076FB8">
        <w:t>,</w:t>
      </w:r>
      <w:r w:rsidR="539F927F">
        <w:t xml:space="preserve"> only 40% fel</w:t>
      </w:r>
      <w:r w:rsidR="003E3F62">
        <w:t>t</w:t>
      </w:r>
      <w:r w:rsidR="539F927F">
        <w:t xml:space="preserve"> that they were paid fairly in relation to their efforts and achievements.</w:t>
      </w:r>
      <w:r w:rsidR="006B69FF" w:rsidRPr="3CEA1630">
        <w:rPr>
          <w:rStyle w:val="FootnoteReference"/>
        </w:rPr>
        <w:footnoteReference w:id="30"/>
      </w:r>
    </w:p>
    <w:p w14:paraId="0D1631CC" w14:textId="076D7362" w:rsidR="00921F35" w:rsidRPr="00CC19FD" w:rsidRDefault="2ED23FA1" w:rsidP="00C4796C">
      <w:pPr>
        <w:jc w:val="both"/>
      </w:pPr>
      <w:r>
        <w:t>Moreover, d</w:t>
      </w:r>
      <w:r w:rsidR="539F927F">
        <w:t>ue to the increased workload and serious mental health challenges imposed by the COVID-19 pandemic, many professionals of the health</w:t>
      </w:r>
      <w:r w:rsidR="602BFED5">
        <w:t xml:space="preserve"> and </w:t>
      </w:r>
      <w:r w:rsidR="539F927F">
        <w:t>care workforce have considered changing profession. According to the 2023 State of Health in the EU Report, this is especially the case for nurses. In 2021, up to 19% of Belgian nurses and 45% of French nurses taking part in the study reported that the pandemic had made them consider resigning, with one in two nurses working in public infrastructures suffering from burnout.</w:t>
      </w:r>
      <w:r w:rsidR="006B69FF" w:rsidRPr="3CEA1630">
        <w:rPr>
          <w:rStyle w:val="FootnoteReference"/>
        </w:rPr>
        <w:footnoteReference w:id="31"/>
      </w:r>
      <w:r w:rsidR="00545674">
        <w:t xml:space="preserve"> </w:t>
      </w:r>
      <w:r w:rsidR="05E9AA64">
        <w:t>Furthermore, there is a flow of health and care professionals leaving the public health and care system for the private one. This can be attributed to several reasons</w:t>
      </w:r>
      <w:r w:rsidR="00156634">
        <w:t>, in particular remuneration</w:t>
      </w:r>
      <w:r w:rsidR="05E9AA64">
        <w:t xml:space="preserve"> and working conditions. </w:t>
      </w:r>
    </w:p>
    <w:p w14:paraId="57DF38E6" w14:textId="54DAB56A" w:rsidR="0E4A7637" w:rsidRDefault="24C9A227" w:rsidP="00C4796C">
      <w:pPr>
        <w:jc w:val="both"/>
      </w:pPr>
      <w:r w:rsidRPr="00E02956">
        <w:t xml:space="preserve">In addition, </w:t>
      </w:r>
      <w:r w:rsidR="52DE958C" w:rsidRPr="00E02956">
        <w:t xml:space="preserve">as already mentioned above, </w:t>
      </w:r>
      <w:r w:rsidRPr="00E02956">
        <w:t xml:space="preserve">these issues are </w:t>
      </w:r>
      <w:r w:rsidR="7E531F6D" w:rsidRPr="00E02956">
        <w:t xml:space="preserve">contributing to </w:t>
      </w:r>
      <w:r w:rsidRPr="00E02956">
        <w:t>undermining the attractiveness of the health</w:t>
      </w:r>
      <w:r w:rsidR="00DF6953">
        <w:t xml:space="preserve"> and </w:t>
      </w:r>
      <w:r w:rsidRPr="00E02956">
        <w:t xml:space="preserve">care sector among </w:t>
      </w:r>
      <w:r w:rsidR="70F19EF3" w:rsidRPr="00E02956">
        <w:t>the younger generation</w:t>
      </w:r>
      <w:r w:rsidRPr="00E02956">
        <w:t>. Indeed, t</w:t>
      </w:r>
      <w:r w:rsidR="600BD8F1" w:rsidRPr="00E02956">
        <w:t>h</w:t>
      </w:r>
      <w:r w:rsidR="7C173E71" w:rsidRPr="00E02956">
        <w:t>e health</w:t>
      </w:r>
      <w:r w:rsidR="003933DA">
        <w:t xml:space="preserve"> and </w:t>
      </w:r>
      <w:r w:rsidR="7C173E71" w:rsidRPr="00E02956">
        <w:t>care workforce crisis</w:t>
      </w:r>
      <w:r w:rsidR="600BD8F1" w:rsidRPr="00E02956">
        <w:t xml:space="preserve"> </w:t>
      </w:r>
      <w:proofErr w:type="gramStart"/>
      <w:r w:rsidR="600BD8F1" w:rsidRPr="00E02956">
        <w:t>is</w:t>
      </w:r>
      <w:proofErr w:type="gramEnd"/>
      <w:r w:rsidR="600BD8F1" w:rsidRPr="00E02956">
        <w:t xml:space="preserve"> also related to the decreasing number of students</w:t>
      </w:r>
      <w:r w:rsidR="009F2C1D">
        <w:t xml:space="preserve">, with shortages in several fields (i.e., </w:t>
      </w:r>
      <w:r w:rsidR="11D5D1F9" w:rsidRPr="00AB4C30">
        <w:t>pharmac</w:t>
      </w:r>
      <w:r w:rsidR="1AD435BF">
        <w:t>y</w:t>
      </w:r>
      <w:r w:rsidR="009F2C1D">
        <w:t>)</w:t>
      </w:r>
      <w:r w:rsidR="11D5D1F9" w:rsidRPr="00AB4C30">
        <w:t xml:space="preserve">. For the provision of adequate care, a well-running pharmacy is paramount. </w:t>
      </w:r>
      <w:r w:rsidR="36020188">
        <w:t xml:space="preserve">The negative influence of the shortages of students has already been noticed in several countries. </w:t>
      </w:r>
      <w:r w:rsidR="11D5D1F9" w:rsidRPr="00AB4C30">
        <w:t xml:space="preserve"> This will lead to a decrease in the number of professionals in the future</w:t>
      </w:r>
      <w:r w:rsidR="15E7BECF" w:rsidRPr="00AB4C30">
        <w:t>, meaning the</w:t>
      </w:r>
      <w:r w:rsidR="11D5D1F9" w:rsidRPr="00AB4C30">
        <w:t xml:space="preserve"> long-term perspective should be considered.</w:t>
      </w:r>
      <w:r w:rsidR="29C4CCE9" w:rsidRPr="00AB4C30">
        <w:t xml:space="preserve"> In the Netherlands, </w:t>
      </w:r>
      <w:r w:rsidR="6E7040FD" w:rsidRPr="00AB4C30">
        <w:t>general practitioners</w:t>
      </w:r>
      <w:r w:rsidR="29C4CCE9" w:rsidRPr="00AB4C30">
        <w:t xml:space="preserve"> </w:t>
      </w:r>
      <w:r w:rsidR="109761FE" w:rsidRPr="00AB4C30">
        <w:t xml:space="preserve">can </w:t>
      </w:r>
      <w:r w:rsidR="5A4AAA7C" w:rsidRPr="00AB4C30">
        <w:t>for instance</w:t>
      </w:r>
      <w:r w:rsidR="109761FE" w:rsidRPr="00AB4C30">
        <w:t xml:space="preserve"> run a small-scale pharmacy</w:t>
      </w:r>
      <w:r w:rsidR="3BA092BD" w:rsidRPr="00AB4C30">
        <w:t xml:space="preserve"> (282 across the country in 2023</w:t>
      </w:r>
      <w:r w:rsidR="24F3B6B5" w:rsidRPr="00AB4C30">
        <w:t xml:space="preserve">) </w:t>
      </w:r>
      <w:r w:rsidR="567D50FB" w:rsidRPr="00AB4C30">
        <w:t>in areas lacking pharmacies</w:t>
      </w:r>
      <w:r w:rsidR="3133D424" w:rsidRPr="00AB4C30">
        <w:t>.</w:t>
      </w:r>
      <w:r w:rsidR="00B2703A" w:rsidRPr="00AB4C30">
        <w:rPr>
          <w:rStyle w:val="FootnoteReference"/>
        </w:rPr>
        <w:footnoteReference w:id="32"/>
      </w:r>
      <w:r w:rsidR="0FE675A8" w:rsidRPr="00AB4C30">
        <w:t xml:space="preserve"> </w:t>
      </w:r>
      <w:r w:rsidR="52F2E60C" w:rsidRPr="00AB4C30">
        <w:t xml:space="preserve">Such practice could be </w:t>
      </w:r>
      <w:r w:rsidR="3586C2F2">
        <w:t xml:space="preserve">further </w:t>
      </w:r>
      <w:r w:rsidR="00865CA9">
        <w:t xml:space="preserve">explored </w:t>
      </w:r>
      <w:r w:rsidR="00865CA9" w:rsidRPr="00AB4C30">
        <w:t>to</w:t>
      </w:r>
      <w:r w:rsidR="5C445381" w:rsidRPr="00AB4C30">
        <w:t xml:space="preserve"> </w:t>
      </w:r>
      <w:r w:rsidR="50365349" w:rsidRPr="00AB4C30">
        <w:t>face the shortages of pharmacists.</w:t>
      </w:r>
      <w:r w:rsidR="0C7F7EBF" w:rsidRPr="0A709FE9">
        <w:rPr>
          <w:rStyle w:val="FootnoteReference"/>
        </w:rPr>
        <w:footnoteReference w:id="33"/>
      </w:r>
    </w:p>
    <w:p w14:paraId="6FE57DAE" w14:textId="4377B7F7" w:rsidR="00B97E03" w:rsidRPr="00AB4C30" w:rsidRDefault="006F3107" w:rsidP="00EA6F38">
      <w:pPr>
        <w:pStyle w:val="Heading2"/>
        <w:numPr>
          <w:ilvl w:val="1"/>
          <w:numId w:val="38"/>
        </w:numPr>
        <w:ind w:left="851" w:hanging="482"/>
      </w:pPr>
      <w:bookmarkStart w:id="5" w:name="_Toc159502615"/>
      <w:r w:rsidRPr="00AB4C30">
        <w:t>Skills</w:t>
      </w:r>
      <w:r w:rsidR="00326BDE" w:rsidRPr="00AB4C30">
        <w:t xml:space="preserve"> and education</w:t>
      </w:r>
      <w:bookmarkEnd w:id="5"/>
    </w:p>
    <w:p w14:paraId="6F805555" w14:textId="52F210BB" w:rsidR="001D4ED9" w:rsidRDefault="001D4ED9" w:rsidP="00EA6F38">
      <w:pPr>
        <w:pStyle w:val="Heading4"/>
        <w:numPr>
          <w:ilvl w:val="2"/>
          <w:numId w:val="39"/>
        </w:numPr>
        <w:spacing w:before="120" w:after="120"/>
        <w:ind w:left="1080"/>
      </w:pPr>
      <w:r w:rsidRPr="00AB4C30">
        <w:t xml:space="preserve">Skills </w:t>
      </w:r>
      <w:r w:rsidR="00CB7B18" w:rsidRPr="00AB4C30">
        <w:t>transition and transformation</w:t>
      </w:r>
    </w:p>
    <w:p w14:paraId="34BE67B4" w14:textId="25A84B27" w:rsidR="003113D1" w:rsidRPr="0041022E" w:rsidRDefault="440B17CA" w:rsidP="00EA6F38">
      <w:pPr>
        <w:jc w:val="both"/>
        <w:rPr>
          <w:rStyle w:val="FootnoteReference"/>
          <w:vertAlign w:val="baseline"/>
          <w:lang w:val="en-US"/>
        </w:rPr>
      </w:pPr>
      <w:r w:rsidRPr="792FB4BB">
        <w:rPr>
          <w:lang w:val="en-US"/>
        </w:rPr>
        <w:t xml:space="preserve">Due to several factors, including shortages but also the impact of the COVID-19 pandemic, </w:t>
      </w:r>
      <w:r>
        <w:t xml:space="preserve">transfers of responsibilities across professions have been observed. For instance, while doctors are increasingly required to carry out more administrative tasks, some medical tasks are transferred to the nursing and care workers. This should </w:t>
      </w:r>
      <w:r w:rsidR="261724C7">
        <w:t xml:space="preserve">take account of qualifications and skills, but </w:t>
      </w:r>
      <w:r>
        <w:t>also be reflected in the remuneration, to avoid the profession</w:t>
      </w:r>
      <w:r w:rsidR="7EC77C28">
        <w:t>s</w:t>
      </w:r>
      <w:r>
        <w:t xml:space="preserve"> losing attractivity.</w:t>
      </w:r>
      <w:r w:rsidR="624A0FAB">
        <w:t xml:space="preserve"> In France, for instance, nurses can now obtain a new status of advanced practice nurses (</w:t>
      </w:r>
      <w:proofErr w:type="spellStart"/>
      <w:r w:rsidR="624A0FAB" w:rsidRPr="792FB4BB">
        <w:rPr>
          <w:i/>
          <w:iCs/>
        </w:rPr>
        <w:t>infirmière</w:t>
      </w:r>
      <w:proofErr w:type="spellEnd"/>
      <w:r w:rsidR="624A0FAB" w:rsidRPr="792FB4BB">
        <w:rPr>
          <w:i/>
          <w:iCs/>
        </w:rPr>
        <w:t xml:space="preserve"> de pratique </w:t>
      </w:r>
      <w:proofErr w:type="spellStart"/>
      <w:r w:rsidR="624A0FAB" w:rsidRPr="792FB4BB">
        <w:rPr>
          <w:i/>
          <w:iCs/>
        </w:rPr>
        <w:t>avancée</w:t>
      </w:r>
      <w:proofErr w:type="spellEnd"/>
      <w:r w:rsidR="624A0FAB" w:rsidRPr="792FB4BB">
        <w:rPr>
          <w:i/>
          <w:iCs/>
        </w:rPr>
        <w:t>, IPA</w:t>
      </w:r>
      <w:r w:rsidR="624A0FAB">
        <w:t xml:space="preserve">), allowing them to have a specialty and carry out activities and tasks usually implemented by a doctor. </w:t>
      </w:r>
      <w:r w:rsidR="624A0FAB" w:rsidRPr="792FB4BB">
        <w:rPr>
          <w:lang w:val="en-US"/>
        </w:rPr>
        <w:t>This new status aims both at improving access to care, and to improve patient care by reducing the workload of doctors on specific elements of care (chronic diseases, primary care, mental health, oncology, emergencies). The advanced practice includes prevention and screening activities, evaluation and clinical conclusions and monitoring, prescribing further examination, prescription renewal or adaptation.</w:t>
      </w:r>
      <w:r w:rsidR="003113D1" w:rsidRPr="792FB4BB">
        <w:rPr>
          <w:rStyle w:val="FootnoteReference"/>
          <w:i/>
          <w:iCs/>
        </w:rPr>
        <w:footnoteReference w:id="34"/>
      </w:r>
    </w:p>
    <w:p w14:paraId="08483319" w14:textId="2270F4E3" w:rsidR="00D319D7" w:rsidRDefault="15DB953A" w:rsidP="00EA6F38">
      <w:pPr>
        <w:jc w:val="both"/>
      </w:pPr>
      <w:r>
        <w:t>Furthermore</w:t>
      </w:r>
      <w:r w:rsidR="440B17CA">
        <w:t>, growing skills needs have been observed across the professions in the health and care workforce. For instance, i</w:t>
      </w:r>
      <w:r w:rsidR="440B17CA" w:rsidRPr="00AB4C30">
        <w:t xml:space="preserve">n the case of hospital </w:t>
      </w:r>
      <w:r w:rsidR="440B17CA">
        <w:t>pharmaci</w:t>
      </w:r>
      <w:r w:rsidR="440B17CA" w:rsidRPr="00AB4C30">
        <w:t>sts, there is an increasing need of highly educated and specialised workers in terms of</w:t>
      </w:r>
      <w:r w:rsidR="440B17CA" w:rsidRPr="00AB4C30">
        <w:rPr>
          <w:color w:val="00B050"/>
        </w:rPr>
        <w:t xml:space="preserve"> </w:t>
      </w:r>
      <w:r w:rsidR="440B17CA" w:rsidRPr="00AB4C30">
        <w:t>medication and medication-related processes that can ensure the seamless transfer of patients between healthcare settings.</w:t>
      </w:r>
      <w:r w:rsidR="003113D1" w:rsidRPr="00AB4C30">
        <w:rPr>
          <w:rStyle w:val="FootnoteReference"/>
        </w:rPr>
        <w:footnoteReference w:id="35"/>
      </w:r>
      <w:r w:rsidR="30A726E7">
        <w:t xml:space="preserve"> </w:t>
      </w:r>
      <w:r w:rsidR="440B17CA" w:rsidRPr="00AB4C30">
        <w:t>In that regard, clear career development plans should be facilitated</w:t>
      </w:r>
      <w:r w:rsidR="37844F30" w:rsidRPr="00AB4C30">
        <w:t>.</w:t>
      </w:r>
      <w:r w:rsidR="00C8358C" w:rsidRPr="00AB4C30">
        <w:rPr>
          <w:rStyle w:val="FootnoteReference"/>
        </w:rPr>
        <w:footnoteReference w:id="36"/>
      </w:r>
      <w:r w:rsidR="3CD7D2A4">
        <w:t xml:space="preserve"> </w:t>
      </w:r>
      <w:r w:rsidR="00535D51">
        <w:rPr>
          <w:rStyle w:val="FootnoteReference"/>
        </w:rPr>
        <w:footnoteReference w:id="37"/>
      </w:r>
      <w:r w:rsidR="2ADE9D13" w:rsidRPr="792FB4BB">
        <w:rPr>
          <w:rStyle w:val="FootnoteReference"/>
          <w:vertAlign w:val="baseline"/>
        </w:rPr>
        <w:t xml:space="preserve"> </w:t>
      </w:r>
      <w:r w:rsidR="207F60D9" w:rsidRPr="792FB4BB">
        <w:rPr>
          <w:rStyle w:val="FootnoteReference"/>
          <w:vertAlign w:val="baseline"/>
        </w:rPr>
        <w:t>Moreover</w:t>
      </w:r>
      <w:r w:rsidR="2ADE9D13" w:rsidRPr="792FB4BB">
        <w:rPr>
          <w:rStyle w:val="FootnoteReference"/>
          <w:vertAlign w:val="baseline"/>
        </w:rPr>
        <w:t xml:space="preserve">, the health and care workforce </w:t>
      </w:r>
      <w:r w:rsidR="088C5866" w:rsidRPr="792FB4BB">
        <w:rPr>
          <w:rStyle w:val="FootnoteReference"/>
          <w:vertAlign w:val="baseline"/>
        </w:rPr>
        <w:t xml:space="preserve">is </w:t>
      </w:r>
      <w:r w:rsidR="2ADE9D13" w:rsidRPr="792FB4BB">
        <w:rPr>
          <w:rStyle w:val="FootnoteReference"/>
          <w:vertAlign w:val="baseline"/>
        </w:rPr>
        <w:t xml:space="preserve">currently </w:t>
      </w:r>
      <w:r w:rsidR="7E91BF85" w:rsidRPr="792FB4BB">
        <w:rPr>
          <w:rStyle w:val="FootnoteReference"/>
          <w:vertAlign w:val="baseline"/>
        </w:rPr>
        <w:t xml:space="preserve">facing </w:t>
      </w:r>
      <w:r w:rsidR="2ADE9D13" w:rsidRPr="792FB4BB">
        <w:rPr>
          <w:rStyle w:val="FootnoteReference"/>
          <w:vertAlign w:val="baseline"/>
        </w:rPr>
        <w:t xml:space="preserve">trends </w:t>
      </w:r>
      <w:r w:rsidR="03FB1436" w:rsidRPr="792FB4BB">
        <w:rPr>
          <w:rStyle w:val="FootnoteReference"/>
          <w:vertAlign w:val="baseline"/>
        </w:rPr>
        <w:t xml:space="preserve">such as the </w:t>
      </w:r>
      <w:r w:rsidR="2ADE9D13" w:rsidRPr="792FB4BB">
        <w:rPr>
          <w:rStyle w:val="FootnoteReference"/>
          <w:vertAlign w:val="baseline"/>
        </w:rPr>
        <w:t>digital transformation of health and care,</w:t>
      </w:r>
      <w:r w:rsidR="601E59AD" w:rsidRPr="792FB4BB">
        <w:rPr>
          <w:rStyle w:val="FootnoteReference"/>
          <w:vertAlign w:val="baseline"/>
        </w:rPr>
        <w:t xml:space="preserve"> and the </w:t>
      </w:r>
      <w:r w:rsidR="2ADE9D13" w:rsidRPr="792FB4BB">
        <w:rPr>
          <w:rStyle w:val="FootnoteReference"/>
          <w:vertAlign w:val="baseline"/>
        </w:rPr>
        <w:t>greening of healthcare systems</w:t>
      </w:r>
      <w:r w:rsidR="4D89FA11" w:rsidRPr="792FB4BB">
        <w:rPr>
          <w:rStyle w:val="FootnoteReference"/>
          <w:vertAlign w:val="baseline"/>
        </w:rPr>
        <w:t>.</w:t>
      </w:r>
      <w:r w:rsidR="2ADE9D13" w:rsidRPr="792FB4BB">
        <w:rPr>
          <w:rStyle w:val="FootnoteReference"/>
          <w:vertAlign w:val="baseline"/>
        </w:rPr>
        <w:t xml:space="preserve"> </w:t>
      </w:r>
      <w:r w:rsidR="504F277F" w:rsidRPr="792FB4BB">
        <w:rPr>
          <w:rStyle w:val="FootnoteReference"/>
          <w:vertAlign w:val="baseline"/>
        </w:rPr>
        <w:t>These are</w:t>
      </w:r>
      <w:r w:rsidR="2ADE9D13" w:rsidRPr="792FB4BB">
        <w:rPr>
          <w:rStyle w:val="FootnoteReference"/>
          <w:vertAlign w:val="baseline"/>
        </w:rPr>
        <w:t xml:space="preserve"> crea</w:t>
      </w:r>
      <w:r w:rsidR="08C9FEB7" w:rsidRPr="792FB4BB">
        <w:rPr>
          <w:rStyle w:val="FootnoteReference"/>
          <w:vertAlign w:val="baseline"/>
        </w:rPr>
        <w:t>ting</w:t>
      </w:r>
      <w:r w:rsidR="2ADE9D13" w:rsidRPr="792FB4BB">
        <w:rPr>
          <w:rStyle w:val="FootnoteReference"/>
          <w:vertAlign w:val="baseline"/>
        </w:rPr>
        <w:t xml:space="preserve"> growing skills needs, and therefore training needs</w:t>
      </w:r>
      <w:r w:rsidR="18683EAF" w:rsidRPr="792FB4BB">
        <w:rPr>
          <w:rStyle w:val="FootnoteReference"/>
          <w:vertAlign w:val="baseline"/>
        </w:rPr>
        <w:t xml:space="preserve">, in terms of </w:t>
      </w:r>
      <w:r w:rsidR="2ADE9D13" w:rsidRPr="792FB4BB">
        <w:rPr>
          <w:rStyle w:val="FootnoteReference"/>
          <w:vertAlign w:val="baseline"/>
        </w:rPr>
        <w:t xml:space="preserve">curricula but also in </w:t>
      </w:r>
      <w:r w:rsidR="07B1A271" w:rsidRPr="792FB4BB">
        <w:rPr>
          <w:rStyle w:val="FootnoteReference"/>
          <w:vertAlign w:val="baseline"/>
        </w:rPr>
        <w:t xml:space="preserve">terms of </w:t>
      </w:r>
      <w:r w:rsidR="2ADE9D13" w:rsidRPr="792FB4BB">
        <w:rPr>
          <w:rStyle w:val="FootnoteReference"/>
          <w:vertAlign w:val="baseline"/>
        </w:rPr>
        <w:t>continuous professional development.</w:t>
      </w:r>
    </w:p>
    <w:p w14:paraId="079D2CDA" w14:textId="2C78A05A" w:rsidR="003113D1" w:rsidRPr="00D319D7" w:rsidRDefault="0041022E" w:rsidP="00EA6F38">
      <w:pPr>
        <w:jc w:val="both"/>
        <w:rPr>
          <w:rFonts w:eastAsiaTheme="minorEastAsia"/>
        </w:rPr>
      </w:pPr>
      <w:r>
        <w:t>S</w:t>
      </w:r>
      <w:r w:rsidR="10A9FA0F">
        <w:t xml:space="preserve">kills standards </w:t>
      </w:r>
      <w:r w:rsidR="558397B8">
        <w:t xml:space="preserve">should </w:t>
      </w:r>
      <w:r w:rsidR="429B9200">
        <w:t xml:space="preserve">be </w:t>
      </w:r>
      <w:r w:rsidR="10A9FA0F">
        <w:t xml:space="preserve">agreed at the EU level </w:t>
      </w:r>
      <w:r w:rsidR="10A9FA0F" w:rsidRPr="2FB0C460">
        <w:rPr>
          <w:rFonts w:eastAsiaTheme="minorEastAsia"/>
        </w:rPr>
        <w:t>to better compare professional qualifications</w:t>
      </w:r>
      <w:r w:rsidR="10A9FA0F">
        <w:t>.</w:t>
      </w:r>
      <w:r w:rsidR="429B9200">
        <w:t xml:space="preserve"> </w:t>
      </w:r>
      <w:r w:rsidR="3868B395">
        <w:t xml:space="preserve">For instance, </w:t>
      </w:r>
      <w:r w:rsidR="33875AF4">
        <w:t>speciali</w:t>
      </w:r>
      <w:r w:rsidR="39C58360">
        <w:t>sed and advanced nurses face issues of fragmentation and lack o</w:t>
      </w:r>
      <w:r w:rsidR="526CB3D3">
        <w:t>f</w:t>
      </w:r>
      <w:r w:rsidR="39C58360">
        <w:t xml:space="preserve"> credibility in existing certification programmes. There is also a lack of a mechanism for the recognition </w:t>
      </w:r>
      <w:r w:rsidR="6CF4C1DB">
        <w:t>o</w:t>
      </w:r>
      <w:r w:rsidR="63457D15">
        <w:t>f education and certi</w:t>
      </w:r>
      <w:r w:rsidR="6D933892">
        <w:t>fications related to specialised and advanced nurses.</w:t>
      </w:r>
      <w:r w:rsidR="008D7A8A">
        <w:rPr>
          <w:rStyle w:val="FootnoteReference"/>
        </w:rPr>
        <w:footnoteReference w:id="38"/>
      </w:r>
      <w:r w:rsidR="6D933892">
        <w:t xml:space="preserve"> </w:t>
      </w:r>
      <w:r w:rsidR="429B9200" w:rsidRPr="2FB0C460">
        <w:rPr>
          <w:rFonts w:eastAsiaTheme="minorEastAsia"/>
        </w:rPr>
        <w:t xml:space="preserve">The EU legal framework targeting </w:t>
      </w:r>
      <w:r w:rsidR="2D03C7B0" w:rsidRPr="2FB0C460">
        <w:rPr>
          <w:rFonts w:eastAsiaTheme="minorEastAsia"/>
        </w:rPr>
        <w:t xml:space="preserve">skills recognition should reflect the current challenges that the health and care workforce is </w:t>
      </w:r>
      <w:r w:rsidR="00E80652" w:rsidRPr="2FB0C460">
        <w:rPr>
          <w:rFonts w:eastAsiaTheme="minorEastAsia"/>
        </w:rPr>
        <w:t>facing,</w:t>
      </w:r>
      <w:r w:rsidR="2D03C7B0" w:rsidRPr="2FB0C460">
        <w:rPr>
          <w:rFonts w:eastAsiaTheme="minorEastAsia"/>
        </w:rPr>
        <w:t xml:space="preserve"> and the related skills needs, which could be done through the Professional Qualifications Directive (PQD)</w:t>
      </w:r>
      <w:r w:rsidR="00962AFB" w:rsidRPr="2FB0C460">
        <w:rPr>
          <w:rStyle w:val="FootnoteReference"/>
          <w:rFonts w:eastAsiaTheme="minorEastAsia"/>
        </w:rPr>
        <w:footnoteReference w:id="39"/>
      </w:r>
      <w:r w:rsidR="2D03C7B0" w:rsidRPr="2FB0C460">
        <w:rPr>
          <w:rFonts w:eastAsiaTheme="minorEastAsia"/>
        </w:rPr>
        <w:t>.</w:t>
      </w:r>
      <w:r w:rsidR="72CBF39A" w:rsidRPr="2FB0C460">
        <w:rPr>
          <w:rFonts w:eastAsiaTheme="minorEastAsia"/>
        </w:rPr>
        <w:t xml:space="preserve"> </w:t>
      </w:r>
    </w:p>
    <w:p w14:paraId="4011D5BF" w14:textId="764C333D" w:rsidR="00600338" w:rsidRDefault="0017023C" w:rsidP="00EA6F38">
      <w:pPr>
        <w:pStyle w:val="Heading4"/>
        <w:numPr>
          <w:ilvl w:val="2"/>
          <w:numId w:val="39"/>
        </w:numPr>
        <w:spacing w:before="120" w:after="120"/>
        <w:ind w:left="1080"/>
      </w:pPr>
      <w:r>
        <w:t xml:space="preserve">Identified skills and training </w:t>
      </w:r>
      <w:proofErr w:type="gramStart"/>
      <w:r>
        <w:t>needs</w:t>
      </w:r>
      <w:proofErr w:type="gramEnd"/>
    </w:p>
    <w:p w14:paraId="3A7F8508" w14:textId="5F1AE483" w:rsidR="0017023C" w:rsidRDefault="6DA32F03" w:rsidP="00EA6F38">
      <w:pPr>
        <w:jc w:val="both"/>
      </w:pPr>
      <w:r>
        <w:t xml:space="preserve">Education is the main way </w:t>
      </w:r>
      <w:r w:rsidR="2187D0C7">
        <w:t>to</w:t>
      </w:r>
      <w:r>
        <w:t xml:space="preserve"> create a functioning and effective health</w:t>
      </w:r>
      <w:r w:rsidR="0E20A870">
        <w:t xml:space="preserve"> and </w:t>
      </w:r>
      <w:r>
        <w:t xml:space="preserve">care workforce. With new challenges and knowledge arising faster and more often than in the past, it is important to keep offering students </w:t>
      </w:r>
      <w:r w:rsidR="0066639D">
        <w:t>and health</w:t>
      </w:r>
      <w:r>
        <w:t xml:space="preserve"> and care workers opportunities and tools to keep up</w:t>
      </w:r>
      <w:r w:rsidR="00B81338">
        <w:t xml:space="preserve"> to date</w:t>
      </w:r>
      <w:r>
        <w:t xml:space="preserve"> on relevant topics and skills. This should be carried out through updated university curricula and Continuous Professional Development (CPD) opportunities.</w:t>
      </w:r>
    </w:p>
    <w:p w14:paraId="491F5A99" w14:textId="5B74F33B" w:rsidR="0017023C" w:rsidRDefault="1DA17B0C" w:rsidP="00EA6F38">
      <w:pPr>
        <w:jc w:val="both"/>
        <w:rPr>
          <w:rFonts w:eastAsia="Times New Roman" w:cs="Calibri"/>
        </w:rPr>
      </w:pPr>
      <w:r w:rsidRPr="00AB4C30">
        <w:t xml:space="preserve">There are transversal topics </w:t>
      </w:r>
      <w:r>
        <w:t xml:space="preserve">and trends </w:t>
      </w:r>
      <w:r w:rsidRPr="00AB4C30">
        <w:t>that are not sufficiently addressed but are core to the health</w:t>
      </w:r>
      <w:r w:rsidR="017C383C">
        <w:t xml:space="preserve"> and </w:t>
      </w:r>
      <w:r w:rsidRPr="00AB4C30">
        <w:t>care profession</w:t>
      </w:r>
      <w:r w:rsidR="017C383C">
        <w:t>s</w:t>
      </w:r>
      <w:r w:rsidRPr="00AB4C30">
        <w:t xml:space="preserve"> and directly influence proper healthcare</w:t>
      </w:r>
      <w:r>
        <w:t>. First, this includes c</w:t>
      </w:r>
      <w:r w:rsidRPr="00AB4C30">
        <w:t xml:space="preserve">ommunication skills. With the COVID-19 pandemic, health and care professionals had to face the issue of fake news, which requires training. </w:t>
      </w:r>
      <w:r w:rsidR="5609D195" w:rsidRPr="00AB4C30">
        <w:t xml:space="preserve">It is essential to train </w:t>
      </w:r>
      <w:r w:rsidRPr="00AB4C30">
        <w:t xml:space="preserve">health professional to </w:t>
      </w:r>
      <w:r>
        <w:t>address such issues</w:t>
      </w:r>
      <w:r w:rsidRPr="00AB4C30">
        <w:t xml:space="preserve">, as well as </w:t>
      </w:r>
      <w:r w:rsidR="509D3FDF" w:rsidRPr="00AB4C30">
        <w:t xml:space="preserve">to </w:t>
      </w:r>
      <w:r w:rsidRPr="00AB4C30">
        <w:t>ensure clear and effective communication between</w:t>
      </w:r>
      <w:r w:rsidR="39527FC5" w:rsidRPr="00AB4C30">
        <w:t>, on the one hand,</w:t>
      </w:r>
      <w:r w:rsidRPr="00AB4C30">
        <w:t xml:space="preserve"> </w:t>
      </w:r>
      <w:proofErr w:type="gramStart"/>
      <w:r w:rsidRPr="00AB4C30">
        <w:t>health</w:t>
      </w:r>
      <w:proofErr w:type="gramEnd"/>
      <w:r w:rsidRPr="00AB4C30">
        <w:t xml:space="preserve"> and care professionals</w:t>
      </w:r>
      <w:r w:rsidR="7701B388" w:rsidRPr="00AB4C30">
        <w:t>,</w:t>
      </w:r>
      <w:r w:rsidR="00900FA6">
        <w:t xml:space="preserve"> </w:t>
      </w:r>
      <w:r w:rsidRPr="00AB4C30">
        <w:t>and</w:t>
      </w:r>
      <w:r w:rsidR="50A07DD9" w:rsidRPr="00AB4C30">
        <w:t xml:space="preserve"> on the other</w:t>
      </w:r>
      <w:r w:rsidRPr="00AB4C30">
        <w:t xml:space="preserve"> their patients and the general population. </w:t>
      </w:r>
      <w:r w:rsidR="3231A827">
        <w:t>T</w:t>
      </w:r>
      <w:r w:rsidRPr="00F34B38">
        <w:t xml:space="preserve">here is </w:t>
      </w:r>
      <w:r>
        <w:t xml:space="preserve">as well </w:t>
      </w:r>
      <w:r w:rsidRPr="00F34B38">
        <w:t>a l</w:t>
      </w:r>
      <w:r w:rsidRPr="00F34B38">
        <w:rPr>
          <w:rFonts w:eastAsia="Times New Roman" w:cs="Calibri"/>
          <w:kern w:val="0"/>
          <w14:ligatures w14:val="none"/>
        </w:rPr>
        <w:t>ack of training for health</w:t>
      </w:r>
      <w:r w:rsidR="017C383C">
        <w:rPr>
          <w:rFonts w:eastAsia="Times New Roman" w:cs="Calibri"/>
          <w:kern w:val="0"/>
          <w14:ligatures w14:val="none"/>
        </w:rPr>
        <w:t xml:space="preserve"> and </w:t>
      </w:r>
      <w:r w:rsidRPr="00F34B38">
        <w:rPr>
          <w:rFonts w:eastAsia="Times New Roman" w:cs="Calibri"/>
          <w:kern w:val="0"/>
          <w14:ligatures w14:val="none"/>
        </w:rPr>
        <w:t>care professionals and staff members on interpersonal and culturally sensitive skills, to create trust among people from marginalised or racialised groups, also known as cultural competence</w:t>
      </w:r>
      <w:r w:rsidR="0017023C" w:rsidRPr="00F34B38">
        <w:rPr>
          <w:rStyle w:val="FootnoteReference"/>
          <w:rFonts w:eastAsia="Times New Roman" w:cs="Calibri"/>
          <w:kern w:val="0"/>
          <w14:ligatures w14:val="none"/>
        </w:rPr>
        <w:footnoteReference w:id="40"/>
      </w:r>
      <w:r w:rsidRPr="00F34B38">
        <w:rPr>
          <w:rFonts w:eastAsia="Times New Roman" w:cs="Calibri"/>
          <w:kern w:val="0"/>
          <w14:ligatures w14:val="none"/>
        </w:rPr>
        <w:t>.</w:t>
      </w:r>
    </w:p>
    <w:p w14:paraId="52E37F7D" w14:textId="4C43741F" w:rsidR="0017023C" w:rsidRPr="00AB4C30" w:rsidRDefault="6DA32F03" w:rsidP="00EA6F38">
      <w:pPr>
        <w:jc w:val="both"/>
      </w:pPr>
      <w:r>
        <w:t xml:space="preserve">Then, the health and care workforce </w:t>
      </w:r>
      <w:r w:rsidR="00C67823">
        <w:t>should</w:t>
      </w:r>
      <w:r>
        <w:t xml:space="preserve"> be trained on the digital transformation of health and care, and </w:t>
      </w:r>
      <w:r w:rsidR="00905C17">
        <w:t xml:space="preserve">thus on </w:t>
      </w:r>
      <w:r>
        <w:t>digital tools. Technological advancements can aid the work of health</w:t>
      </w:r>
      <w:r w:rsidR="017C383C">
        <w:t xml:space="preserve"> and </w:t>
      </w:r>
      <w:r>
        <w:t>care professionals. However, in many healthcare settings, health</w:t>
      </w:r>
      <w:r w:rsidR="41ECC5EA">
        <w:t xml:space="preserve"> and </w:t>
      </w:r>
      <w:r>
        <w:t>care professionals do not have access to these tools despite their benefits. To futureproof the workforce, technology's potential to enhance patient care through tools like telehealth and electronic records should be maximised. Administrative tasks should be streamlined for increased work efficiency, and overall health system operations should be strengthened through seamless and legal data sharing and quality improvement driven by analytics, while also ensuring equitable access to quality care. Finally, health and care workers of all age</w:t>
      </w:r>
      <w:r w:rsidR="778BC2AD">
        <w:t>s</w:t>
      </w:r>
      <w:r>
        <w:t xml:space="preserve"> and backgrounds must be trained on the use of technologies and on their benefits and risks. The development of AI tools will also require skills adaptation.</w:t>
      </w:r>
    </w:p>
    <w:p w14:paraId="7C9ECB6D" w14:textId="5C51BE83" w:rsidR="0017023C" w:rsidRDefault="1DA17B0C" w:rsidP="00EA6F38">
      <w:pPr>
        <w:jc w:val="both"/>
      </w:pPr>
      <w:r>
        <w:t>A third core area of training relates to c</w:t>
      </w:r>
      <w:r w:rsidRPr="00AB4C30">
        <w:t>limate change</w:t>
      </w:r>
      <w:r>
        <w:t>, and the greening of health and care systems.</w:t>
      </w:r>
      <w:r w:rsidRPr="00AB4C30">
        <w:t xml:space="preserve"> Climate change poses a top risk among causes of death by 2050</w:t>
      </w:r>
      <w:r w:rsidR="0017023C" w:rsidRPr="00AB4C30">
        <w:rPr>
          <w:rStyle w:val="FootnoteReference"/>
        </w:rPr>
        <w:footnoteReference w:id="41"/>
      </w:r>
      <w:r w:rsidRPr="00AB4C30">
        <w:t xml:space="preserve">. </w:t>
      </w:r>
      <w:r w:rsidRPr="00D53729">
        <w:t xml:space="preserve">As extreme weather events are expected to </w:t>
      </w:r>
      <w:r w:rsidR="00ECF305">
        <w:t>increase</w:t>
      </w:r>
      <w:r w:rsidRPr="00D53729">
        <w:t>, so are related adverse health impacts, especially for vulnerable groups, and disruptions to the whole health and care system, both with short</w:t>
      </w:r>
      <w:r w:rsidR="51492324" w:rsidRPr="00D53729">
        <w:t>-term</w:t>
      </w:r>
      <w:r w:rsidRPr="00D53729">
        <w:t xml:space="preserve"> (deaths, injuries, impact on healthcare facilities, etc.) and long-term impacts (mental health, increased morbidities, funding issues, etc.). To face this, more knowledge on the relation between climate change and health </w:t>
      </w:r>
      <w:r w:rsidR="2E1DA5EC" w:rsidRPr="00D53729">
        <w:t>needs</w:t>
      </w:r>
      <w:r w:rsidRPr="00D53729">
        <w:t xml:space="preserve"> to be provided to health and care workers (e.g., air pollution, heatwaves, etc.) as well as skills in how to act and how to manage essential health and care services in the event of extreme weather events (e.g. floods)</w:t>
      </w:r>
      <w:r>
        <w:t xml:space="preserve">. Trainings on climate </w:t>
      </w:r>
      <w:r w:rsidRPr="00AB4C30">
        <w:t>mitigation and adaptation opportunities</w:t>
      </w:r>
      <w:r>
        <w:t xml:space="preserve"> should also be developed</w:t>
      </w:r>
      <w:r w:rsidRPr="00AB4C30">
        <w:t xml:space="preserve">, </w:t>
      </w:r>
      <w:proofErr w:type="gramStart"/>
      <w:r w:rsidRPr="00AB4C30">
        <w:t>in order to</w:t>
      </w:r>
      <w:proofErr w:type="gramEnd"/>
      <w:r w:rsidRPr="00AB4C30">
        <w:t xml:space="preserve"> best care for patients and advocate knowledgeably as a professional category for a healthier, more sustainable future.</w:t>
      </w:r>
    </w:p>
    <w:p w14:paraId="52FEC921" w14:textId="145620DE" w:rsidR="005B23FD" w:rsidRPr="005B23FD" w:rsidRDefault="1DA17B0C" w:rsidP="00EA6F38">
      <w:pPr>
        <w:jc w:val="both"/>
      </w:pPr>
      <w:r w:rsidRPr="00AB4C30">
        <w:t>Specifically, the Ostrava Declaration</w:t>
      </w:r>
      <w:r w:rsidR="0017023C" w:rsidRPr="00AB4C30">
        <w:rPr>
          <w:rStyle w:val="FootnoteReference"/>
        </w:rPr>
        <w:footnoteReference w:id="42"/>
      </w:r>
      <w:r w:rsidRPr="00AB4C30">
        <w:t xml:space="preserve"> of the WHO Regional Office for Europe recommends </w:t>
      </w:r>
      <w:r w:rsidR="11F8F5A5" w:rsidRPr="00AB4C30">
        <w:t xml:space="preserve">the inclusion of </w:t>
      </w:r>
      <w:r w:rsidRPr="00AB4C30">
        <w:t>health aspects of climate change in education curricula, non-formal education, and as well in the workforce continuing professional education.</w:t>
      </w:r>
      <w:r w:rsidR="0017023C" w:rsidRPr="00AB4C30">
        <w:rPr>
          <w:rStyle w:val="FootnoteReference"/>
        </w:rPr>
        <w:footnoteReference w:id="43"/>
      </w:r>
      <w:r>
        <w:t xml:space="preserve"> </w:t>
      </w:r>
      <w:r w:rsidRPr="00AB4C30">
        <w:t xml:space="preserve">Through a survey, ASPHER has found that while most public health schools consider climate and health in their education, they still face challenges in implementing it fully. This is due to lack of staff, funding, and time needed to develop the curricula. </w:t>
      </w:r>
      <w:r w:rsidR="0022254A">
        <w:t>T</w:t>
      </w:r>
      <w:r w:rsidRPr="00AB4C30">
        <w:t xml:space="preserve">hese provisions are </w:t>
      </w:r>
      <w:r w:rsidR="0022254A">
        <w:t xml:space="preserve">currently </w:t>
      </w:r>
      <w:r w:rsidRPr="00AB4C30">
        <w:t xml:space="preserve">an insufficient response to the </w:t>
      </w:r>
      <w:r w:rsidR="2C584744" w:rsidRPr="00AB4C30">
        <w:t xml:space="preserve">growing </w:t>
      </w:r>
      <w:r w:rsidRPr="00AB4C30">
        <w:t xml:space="preserve">need and demand for graduates </w:t>
      </w:r>
      <w:r>
        <w:t>w</w:t>
      </w:r>
      <w:r w:rsidRPr="00AB4C30">
        <w:t>ith such skills.</w:t>
      </w:r>
      <w:r w:rsidR="0017023C" w:rsidRPr="00AB4C30">
        <w:rPr>
          <w:rStyle w:val="FootnoteReference"/>
        </w:rPr>
        <w:footnoteReference w:id="44"/>
      </w:r>
      <w:r>
        <w:t xml:space="preserve"> </w:t>
      </w:r>
    </w:p>
    <w:p w14:paraId="086C5372" w14:textId="0841B556" w:rsidR="00904B73" w:rsidRPr="00AB4C30" w:rsidRDefault="00904B73" w:rsidP="00EA6F38">
      <w:pPr>
        <w:pStyle w:val="Heading4"/>
        <w:numPr>
          <w:ilvl w:val="2"/>
          <w:numId w:val="39"/>
        </w:numPr>
        <w:spacing w:before="120" w:after="120"/>
        <w:ind w:left="1080"/>
      </w:pPr>
      <w:r w:rsidRPr="00AB4C30">
        <w:t>Inaccessibility of medical studies</w:t>
      </w:r>
      <w:r w:rsidR="001D34E6">
        <w:t xml:space="preserve"> and lack of mentorship</w:t>
      </w:r>
    </w:p>
    <w:p w14:paraId="4DA6F4F3" w14:textId="44FB1A11" w:rsidR="00802F8A" w:rsidRDefault="00A870B6" w:rsidP="00EA6F38">
      <w:pPr>
        <w:jc w:val="both"/>
      </w:pPr>
      <w:r>
        <w:t>M</w:t>
      </w:r>
      <w:r w:rsidR="00904B73" w:rsidRPr="00AB4C30">
        <w:t xml:space="preserve">edical studies </w:t>
      </w:r>
      <w:r>
        <w:t xml:space="preserve">tend to </w:t>
      </w:r>
      <w:r w:rsidR="00904B73" w:rsidRPr="00AB4C30">
        <w:t>remain a privilege</w:t>
      </w:r>
      <w:r w:rsidR="0020788D" w:rsidRPr="00AB4C30">
        <w:t>.</w:t>
      </w:r>
      <w:r w:rsidR="00904B73" w:rsidRPr="00AB4C30">
        <w:t xml:space="preserve"> </w:t>
      </w:r>
      <w:r w:rsidR="00384060" w:rsidRPr="00AB4C30">
        <w:t>Access to medical education in Europe remains unequal due to entrenched social inequities and immobilism. Students from lower socioeconomic backgrounds and raciali</w:t>
      </w:r>
      <w:r w:rsidR="005118EA" w:rsidRPr="00AB4C30">
        <w:t>s</w:t>
      </w:r>
      <w:r w:rsidR="00384060" w:rsidRPr="00AB4C30">
        <w:t>ed minorities face disproportionate obstacles to pursuing studies</w:t>
      </w:r>
      <w:r w:rsidR="00D93D3C">
        <w:t>, such as</w:t>
      </w:r>
      <w:r w:rsidR="00384060" w:rsidRPr="00AB4C30">
        <w:t xml:space="preserve"> high tuition costs, lost wages during</w:t>
      </w:r>
      <w:r w:rsidR="00D93D3C">
        <w:t xml:space="preserve"> their</w:t>
      </w:r>
      <w:r w:rsidR="00384060" w:rsidRPr="00AB4C30">
        <w:t xml:space="preserve"> stud</w:t>
      </w:r>
      <w:r w:rsidR="00D93D3C">
        <w:t>ies</w:t>
      </w:r>
      <w:r w:rsidR="00384060" w:rsidRPr="00AB4C30">
        <w:t>, and lack of financial support systems. Discriminatory entry systems rely heavily on standardi</w:t>
      </w:r>
      <w:r w:rsidR="003C0ADC" w:rsidRPr="00AB4C30">
        <w:t>s</w:t>
      </w:r>
      <w:r w:rsidR="00384060" w:rsidRPr="00AB4C30">
        <w:t>ed testing that</w:t>
      </w:r>
      <w:r w:rsidR="003B7AAC">
        <w:t xml:space="preserve"> provides</w:t>
      </w:r>
      <w:r w:rsidR="00384060" w:rsidRPr="00AB4C30">
        <w:t xml:space="preserve"> advantages </w:t>
      </w:r>
      <w:r w:rsidR="003B7AAC">
        <w:t xml:space="preserve">to </w:t>
      </w:r>
      <w:r w:rsidR="00384060" w:rsidRPr="00AB4C30">
        <w:t>students from privileged schooling, perpetuating social immobility across generations.  If the medical profession hopes to adequately serve diverse populations, it must redouble efforts to dismantle systemic barriers keeping marginali</w:t>
      </w:r>
      <w:r w:rsidR="003C0ADC" w:rsidRPr="00AB4C30">
        <w:t>s</w:t>
      </w:r>
      <w:r w:rsidR="00384060" w:rsidRPr="00AB4C30">
        <w:t xml:space="preserve">ed groups from </w:t>
      </w:r>
      <w:r w:rsidR="00560234">
        <w:t>reaching their career goals</w:t>
      </w:r>
      <w:r w:rsidR="00384060" w:rsidRPr="00AB4C30">
        <w:t xml:space="preserve">. </w:t>
      </w:r>
    </w:p>
    <w:p w14:paraId="47B0EDDF" w14:textId="393866A6" w:rsidR="001D34E6" w:rsidRPr="00AB4C30" w:rsidRDefault="4F215239" w:rsidP="00EA6F38">
      <w:pPr>
        <w:jc w:val="both"/>
      </w:pPr>
      <w:r>
        <w:t xml:space="preserve">Furthermore, once </w:t>
      </w:r>
      <w:r w:rsidR="20AD190D">
        <w:t xml:space="preserve">becoming a young professional, health and care workers can face difficulties linked to </w:t>
      </w:r>
      <w:r>
        <w:t>a lack of mentorship</w:t>
      </w:r>
      <w:r w:rsidR="20AD190D">
        <w:t>. This is</w:t>
      </w:r>
      <w:r>
        <w:t xml:space="preserve"> due in part to a heavy workload </w:t>
      </w:r>
      <w:r w:rsidR="61A8C353">
        <w:t xml:space="preserve">for the </w:t>
      </w:r>
      <w:r>
        <w:t>senior health</w:t>
      </w:r>
      <w:r w:rsidR="0E20A870">
        <w:t xml:space="preserve"> and </w:t>
      </w:r>
      <w:r>
        <w:t>care workforce who lack time to support new health</w:t>
      </w:r>
      <w:r w:rsidR="54D4F0C0">
        <w:t xml:space="preserve"> and </w:t>
      </w:r>
      <w:r>
        <w:t>care workers. This situation not only leads to a high level of frustration and stress in young professionals</w:t>
      </w:r>
      <w:r w:rsidR="469A5A0B">
        <w:t>,</w:t>
      </w:r>
      <w:r>
        <w:t xml:space="preserve"> but also to an elevated level of risk for patients. </w:t>
      </w:r>
      <w:r w:rsidR="6F59067B">
        <w:t>Finally, y</w:t>
      </w:r>
      <w:r>
        <w:t xml:space="preserve">oung professionals tend to be rarely included in the decision making, or, when included, can </w:t>
      </w:r>
      <w:r w:rsidR="4A1370F1">
        <w:t xml:space="preserve">face </w:t>
      </w:r>
      <w:r>
        <w:t xml:space="preserve">difficulties having their voices heard. </w:t>
      </w:r>
    </w:p>
    <w:p w14:paraId="2CB5DE3D" w14:textId="42B9F53F" w:rsidR="008856B4" w:rsidRPr="00AB4C30" w:rsidRDefault="78BEB96E" w:rsidP="00EA6F38">
      <w:pPr>
        <w:pStyle w:val="Heading2"/>
        <w:numPr>
          <w:ilvl w:val="1"/>
          <w:numId w:val="39"/>
        </w:numPr>
        <w:ind w:left="851" w:hanging="482"/>
      </w:pPr>
      <w:bookmarkStart w:id="6" w:name="_Toc159502616"/>
      <w:r>
        <w:t>Gender disparities</w:t>
      </w:r>
      <w:bookmarkEnd w:id="6"/>
    </w:p>
    <w:p w14:paraId="7F013E9D" w14:textId="35607466" w:rsidR="22174388" w:rsidRDefault="28CD9525" w:rsidP="0D7A0839">
      <w:pPr>
        <w:spacing w:after="0"/>
        <w:jc w:val="both"/>
        <w:rPr>
          <w:rFonts w:ascii="Calibri" w:eastAsia="Calibri" w:hAnsi="Calibri" w:cs="Calibri"/>
          <w:color w:val="000000" w:themeColor="text1"/>
        </w:rPr>
      </w:pPr>
      <w:r w:rsidRPr="0D7A0839">
        <w:rPr>
          <w:rFonts w:ascii="Calibri" w:eastAsia="Calibri" w:hAnsi="Calibri" w:cs="Calibri"/>
          <w:color w:val="000000" w:themeColor="text1"/>
        </w:rPr>
        <w:t>The health</w:t>
      </w:r>
      <w:r w:rsidR="602BFED5">
        <w:rPr>
          <w:rFonts w:ascii="Calibri" w:eastAsia="Calibri" w:hAnsi="Calibri" w:cs="Calibri"/>
          <w:color w:val="000000" w:themeColor="text1"/>
        </w:rPr>
        <w:t xml:space="preserve"> and </w:t>
      </w:r>
      <w:r w:rsidRPr="0D7A0839">
        <w:rPr>
          <w:rFonts w:ascii="Calibri" w:eastAsia="Calibri" w:hAnsi="Calibri" w:cs="Calibri"/>
          <w:color w:val="000000" w:themeColor="text1"/>
        </w:rPr>
        <w:t>care workforce crisis cannot be solved without talking about gender equity and addressing the specific issues and barriers that women face at work. Women account for 80% of professionals in the health</w:t>
      </w:r>
      <w:r w:rsidR="00614F39">
        <w:rPr>
          <w:rFonts w:ascii="Calibri" w:eastAsia="Calibri" w:hAnsi="Calibri" w:cs="Calibri"/>
          <w:color w:val="000000" w:themeColor="text1"/>
        </w:rPr>
        <w:t xml:space="preserve"> and </w:t>
      </w:r>
      <w:r w:rsidRPr="0D7A0839">
        <w:rPr>
          <w:rFonts w:ascii="Calibri" w:eastAsia="Calibri" w:hAnsi="Calibri" w:cs="Calibri"/>
          <w:color w:val="000000" w:themeColor="text1"/>
        </w:rPr>
        <w:t>care sector</w:t>
      </w:r>
      <w:r w:rsidR="22174388" w:rsidRPr="0D7A0839">
        <w:rPr>
          <w:rStyle w:val="FootnoteReference"/>
          <w:rFonts w:ascii="Calibri" w:eastAsia="Calibri" w:hAnsi="Calibri" w:cs="Calibri"/>
          <w:color w:val="000000" w:themeColor="text1"/>
        </w:rPr>
        <w:footnoteReference w:id="45"/>
      </w:r>
      <w:r w:rsidRPr="0D7A0839">
        <w:rPr>
          <w:rFonts w:ascii="Calibri" w:eastAsia="Calibri" w:hAnsi="Calibri" w:cs="Calibri"/>
          <w:color w:val="000000" w:themeColor="text1"/>
        </w:rPr>
        <w:t xml:space="preserve"> and face challenges that their male </w:t>
      </w:r>
      <w:r w:rsidR="00C543E1">
        <w:rPr>
          <w:rFonts w:ascii="Calibri" w:eastAsia="Calibri" w:hAnsi="Calibri" w:cs="Calibri"/>
          <w:color w:val="000000" w:themeColor="text1"/>
        </w:rPr>
        <w:t>colleagues</w:t>
      </w:r>
      <w:r w:rsidR="00C543E1" w:rsidRPr="0D7A0839">
        <w:rPr>
          <w:rFonts w:ascii="Calibri" w:eastAsia="Calibri" w:hAnsi="Calibri" w:cs="Calibri"/>
          <w:color w:val="000000" w:themeColor="text1"/>
        </w:rPr>
        <w:t xml:space="preserve"> </w:t>
      </w:r>
      <w:r w:rsidRPr="0D7A0839">
        <w:rPr>
          <w:rFonts w:ascii="Calibri" w:eastAsia="Calibri" w:hAnsi="Calibri" w:cs="Calibri"/>
          <w:color w:val="000000" w:themeColor="text1"/>
        </w:rPr>
        <w:t>do not, resulting in disproportionate negative impacts. The gender pay gap, gender-based violence and harassment in the workplace, additional unpaid care work and the lack of representation in decision-making are some of the issues that are stacking up.</w:t>
      </w:r>
      <w:r w:rsidR="22174388" w:rsidRPr="0D7A0839">
        <w:rPr>
          <w:rStyle w:val="FootnoteReference"/>
          <w:rFonts w:ascii="Calibri" w:eastAsia="Calibri" w:hAnsi="Calibri" w:cs="Calibri"/>
          <w:color w:val="000000" w:themeColor="text1"/>
        </w:rPr>
        <w:footnoteReference w:id="46"/>
      </w:r>
      <w:r w:rsidRPr="0D7A0839">
        <w:rPr>
          <w:rFonts w:ascii="Calibri" w:eastAsia="Calibri" w:hAnsi="Calibri" w:cs="Calibri"/>
          <w:color w:val="000000" w:themeColor="text1"/>
        </w:rPr>
        <w:t xml:space="preserve"> Gender disparities, while undermining the well</w:t>
      </w:r>
      <w:r w:rsidR="00DF6953">
        <w:rPr>
          <w:rFonts w:ascii="Calibri" w:eastAsia="Calibri" w:hAnsi="Calibri" w:cs="Calibri"/>
          <w:color w:val="000000" w:themeColor="text1"/>
        </w:rPr>
        <w:t>-</w:t>
      </w:r>
      <w:r w:rsidRPr="0D7A0839">
        <w:rPr>
          <w:rFonts w:ascii="Calibri" w:eastAsia="Calibri" w:hAnsi="Calibri" w:cs="Calibri"/>
          <w:color w:val="000000" w:themeColor="text1"/>
        </w:rPr>
        <w:t>being and subsistence of women in the health</w:t>
      </w:r>
      <w:r w:rsidR="602BFED5">
        <w:rPr>
          <w:rFonts w:ascii="Calibri" w:eastAsia="Calibri" w:hAnsi="Calibri" w:cs="Calibri"/>
          <w:color w:val="000000" w:themeColor="text1"/>
        </w:rPr>
        <w:t xml:space="preserve"> and </w:t>
      </w:r>
      <w:r w:rsidRPr="0D7A0839">
        <w:rPr>
          <w:rFonts w:ascii="Calibri" w:eastAsia="Calibri" w:hAnsi="Calibri" w:cs="Calibri"/>
          <w:color w:val="000000" w:themeColor="text1"/>
        </w:rPr>
        <w:t>care workforce, also have a negative impact on the resilience of health systems and healthcare delivery. Indeed, a significant number of women are resigning or planning to leave the health</w:t>
      </w:r>
      <w:r w:rsidR="00961899">
        <w:rPr>
          <w:rFonts w:ascii="Calibri" w:eastAsia="Calibri" w:hAnsi="Calibri" w:cs="Calibri"/>
          <w:color w:val="000000" w:themeColor="text1"/>
        </w:rPr>
        <w:t xml:space="preserve"> and </w:t>
      </w:r>
      <w:r w:rsidRPr="0D7A0839">
        <w:rPr>
          <w:rFonts w:ascii="Calibri" w:eastAsia="Calibri" w:hAnsi="Calibri" w:cs="Calibri"/>
          <w:color w:val="000000" w:themeColor="text1"/>
        </w:rPr>
        <w:t>care sector.</w:t>
      </w:r>
      <w:r w:rsidR="22174388" w:rsidRPr="0D7A0839">
        <w:rPr>
          <w:rStyle w:val="FootnoteReference"/>
          <w:rFonts w:ascii="Calibri" w:eastAsia="Calibri" w:hAnsi="Calibri" w:cs="Calibri"/>
          <w:color w:val="000000" w:themeColor="text1"/>
        </w:rPr>
        <w:footnoteReference w:id="47"/>
      </w:r>
      <w:r w:rsidRPr="0D7A0839">
        <w:rPr>
          <w:rFonts w:ascii="Calibri" w:eastAsia="Calibri" w:hAnsi="Calibri" w:cs="Calibri"/>
          <w:color w:val="000000" w:themeColor="text1"/>
        </w:rPr>
        <w:t xml:space="preserve"> Thus, levelling the playing field between women and men and addressing these burning issues needs to be part of the strategy to tackle the </w:t>
      </w:r>
      <w:r w:rsidR="008D27C5">
        <w:rPr>
          <w:rFonts w:ascii="Calibri" w:eastAsia="Calibri" w:hAnsi="Calibri" w:cs="Calibri"/>
          <w:color w:val="000000" w:themeColor="text1"/>
        </w:rPr>
        <w:t xml:space="preserve">shortages </w:t>
      </w:r>
      <w:r w:rsidRPr="0D7A0839">
        <w:rPr>
          <w:rFonts w:ascii="Calibri" w:eastAsia="Calibri" w:hAnsi="Calibri" w:cs="Calibri"/>
          <w:color w:val="000000" w:themeColor="text1"/>
        </w:rPr>
        <w:t>of health</w:t>
      </w:r>
      <w:r w:rsidR="602BFED5">
        <w:rPr>
          <w:rFonts w:ascii="Calibri" w:eastAsia="Calibri" w:hAnsi="Calibri" w:cs="Calibri"/>
          <w:color w:val="000000" w:themeColor="text1"/>
        </w:rPr>
        <w:t xml:space="preserve"> and </w:t>
      </w:r>
      <w:r w:rsidRPr="0D7A0839">
        <w:rPr>
          <w:rFonts w:ascii="Calibri" w:eastAsia="Calibri" w:hAnsi="Calibri" w:cs="Calibri"/>
          <w:color w:val="000000" w:themeColor="text1"/>
        </w:rPr>
        <w:t xml:space="preserve">care workforce. </w:t>
      </w:r>
    </w:p>
    <w:p w14:paraId="0B34C1A3" w14:textId="65EADD41" w:rsidR="22174388" w:rsidRDefault="023A11B8" w:rsidP="0D7A0839">
      <w:pPr>
        <w:spacing w:after="0"/>
        <w:jc w:val="both"/>
        <w:rPr>
          <w:rFonts w:ascii="Calibri" w:eastAsia="Calibri" w:hAnsi="Calibri" w:cs="Calibri"/>
          <w:color w:val="000000" w:themeColor="text1"/>
        </w:rPr>
      </w:pPr>
      <w:r w:rsidRPr="0D7A0839">
        <w:rPr>
          <w:rFonts w:ascii="Calibri" w:eastAsia="Calibri" w:hAnsi="Calibri" w:cs="Calibri"/>
          <w:color w:val="000000" w:themeColor="text1"/>
        </w:rPr>
        <w:t xml:space="preserve">Adding to the already dire situation, the COVID-19 </w:t>
      </w:r>
      <w:r w:rsidR="3E2CF0EB">
        <w:rPr>
          <w:rFonts w:ascii="Calibri" w:eastAsia="Calibri" w:hAnsi="Calibri" w:cs="Calibri"/>
          <w:color w:val="000000" w:themeColor="text1"/>
        </w:rPr>
        <w:t>pandemic</w:t>
      </w:r>
      <w:r w:rsidRPr="0D7A0839">
        <w:rPr>
          <w:rFonts w:ascii="Calibri" w:eastAsia="Calibri" w:hAnsi="Calibri" w:cs="Calibri"/>
          <w:color w:val="000000" w:themeColor="text1"/>
        </w:rPr>
        <w:t xml:space="preserve"> seriously deteriorated working conditions and the health of professionals. While on the front lines, women were more exposed to the virus and therefore suffered more infections. In addition, they had lower access to well-fitting personal protective equipment.</w:t>
      </w:r>
      <w:r w:rsidR="22174388" w:rsidRPr="0D7A0839">
        <w:rPr>
          <w:rStyle w:val="FootnoteReference"/>
          <w:rFonts w:ascii="Calibri" w:eastAsia="Calibri" w:hAnsi="Calibri" w:cs="Calibri"/>
          <w:color w:val="000000" w:themeColor="text1"/>
        </w:rPr>
        <w:footnoteReference w:id="48"/>
      </w:r>
      <w:r w:rsidRPr="0D7A0839">
        <w:rPr>
          <w:rFonts w:ascii="Calibri" w:eastAsia="Calibri" w:hAnsi="Calibri" w:cs="Calibri"/>
          <w:color w:val="000000" w:themeColor="text1"/>
        </w:rPr>
        <w:t xml:space="preserve"> Higher rates in anxiety, depressive and post-traumatic symptoms among women health</w:t>
      </w:r>
      <w:r w:rsidR="017C383C">
        <w:rPr>
          <w:rFonts w:ascii="Calibri" w:eastAsia="Calibri" w:hAnsi="Calibri" w:cs="Calibri"/>
          <w:color w:val="000000" w:themeColor="text1"/>
        </w:rPr>
        <w:t xml:space="preserve"> and </w:t>
      </w:r>
      <w:r w:rsidRPr="0D7A0839">
        <w:rPr>
          <w:rFonts w:ascii="Calibri" w:eastAsia="Calibri" w:hAnsi="Calibri" w:cs="Calibri"/>
          <w:color w:val="000000" w:themeColor="text1"/>
        </w:rPr>
        <w:t>care workers were also reported.</w:t>
      </w:r>
      <w:r w:rsidR="22174388" w:rsidRPr="0D7A0839">
        <w:rPr>
          <w:rStyle w:val="FootnoteReference"/>
          <w:rFonts w:ascii="Calibri" w:eastAsia="Calibri" w:hAnsi="Calibri" w:cs="Calibri"/>
          <w:color w:val="000000" w:themeColor="text1"/>
        </w:rPr>
        <w:footnoteReference w:id="49"/>
      </w:r>
      <w:r w:rsidRPr="0D7A0839">
        <w:rPr>
          <w:rFonts w:ascii="Calibri" w:eastAsia="Calibri" w:hAnsi="Calibri" w:cs="Calibri"/>
          <w:color w:val="000000" w:themeColor="text1"/>
        </w:rPr>
        <w:t xml:space="preserve"> While the workloads and risks increased, however, women were still paid less, protected </w:t>
      </w:r>
      <w:proofErr w:type="gramStart"/>
      <w:r w:rsidRPr="0D7A0839">
        <w:rPr>
          <w:rFonts w:ascii="Calibri" w:eastAsia="Calibri" w:hAnsi="Calibri" w:cs="Calibri"/>
          <w:color w:val="000000" w:themeColor="text1"/>
        </w:rPr>
        <w:t>less</w:t>
      </w:r>
      <w:proofErr w:type="gramEnd"/>
      <w:r w:rsidRPr="0D7A0839">
        <w:rPr>
          <w:rFonts w:ascii="Calibri" w:eastAsia="Calibri" w:hAnsi="Calibri" w:cs="Calibri"/>
          <w:color w:val="000000" w:themeColor="text1"/>
        </w:rPr>
        <w:t xml:space="preserve"> and were under-represented in</w:t>
      </w:r>
      <w:r w:rsidR="00DD6A00">
        <w:rPr>
          <w:rFonts w:ascii="Calibri" w:eastAsia="Calibri" w:hAnsi="Calibri" w:cs="Calibri"/>
          <w:color w:val="000000" w:themeColor="text1"/>
        </w:rPr>
        <w:t xml:space="preserve"> </w:t>
      </w:r>
      <w:r w:rsidRPr="0D7A0839">
        <w:rPr>
          <w:rFonts w:ascii="Calibri" w:eastAsia="Calibri" w:hAnsi="Calibri" w:cs="Calibri"/>
          <w:color w:val="000000" w:themeColor="text1"/>
        </w:rPr>
        <w:t>decision-making</w:t>
      </w:r>
      <w:r w:rsidR="00722AF1">
        <w:rPr>
          <w:rFonts w:ascii="Calibri" w:eastAsia="Calibri" w:hAnsi="Calibri" w:cs="Calibri"/>
          <w:color w:val="000000" w:themeColor="text1"/>
        </w:rPr>
        <w:t xml:space="preserve"> processes</w:t>
      </w:r>
      <w:r w:rsidRPr="0D7A0839">
        <w:rPr>
          <w:rFonts w:ascii="Calibri" w:eastAsia="Calibri" w:hAnsi="Calibri" w:cs="Calibri"/>
          <w:color w:val="000000" w:themeColor="text1"/>
        </w:rPr>
        <w:t>. Furthermore, they were often impacted by the additional burden of unpaid care and domestic work at home.</w:t>
      </w:r>
      <w:r w:rsidR="22174388" w:rsidRPr="0D7A0839">
        <w:rPr>
          <w:rStyle w:val="FootnoteReference"/>
          <w:rFonts w:ascii="Calibri" w:eastAsia="Calibri" w:hAnsi="Calibri" w:cs="Calibri"/>
          <w:color w:val="000000" w:themeColor="text1"/>
        </w:rPr>
        <w:footnoteReference w:id="50"/>
      </w:r>
      <w:r w:rsidRPr="0D7A0839">
        <w:rPr>
          <w:rFonts w:ascii="Calibri" w:eastAsia="Calibri" w:hAnsi="Calibri" w:cs="Calibri"/>
          <w:color w:val="000000" w:themeColor="text1"/>
        </w:rPr>
        <w:t xml:space="preserve"> These challenges were pre-existing but deepened with the pandemic.</w:t>
      </w:r>
    </w:p>
    <w:p w14:paraId="52652771" w14:textId="01554D1C" w:rsidR="22174388" w:rsidRDefault="28CD9525" w:rsidP="0D7A0839">
      <w:pPr>
        <w:ind w:left="-20" w:right="-20"/>
        <w:jc w:val="both"/>
        <w:rPr>
          <w:rFonts w:ascii="Calibri" w:eastAsia="Calibri" w:hAnsi="Calibri" w:cs="Calibri"/>
          <w:color w:val="000000" w:themeColor="text1"/>
        </w:rPr>
      </w:pPr>
      <w:r w:rsidRPr="0D7A0839">
        <w:rPr>
          <w:rFonts w:ascii="Calibri" w:eastAsia="Calibri" w:hAnsi="Calibri" w:cs="Calibri"/>
          <w:color w:val="000000" w:themeColor="text1"/>
        </w:rPr>
        <w:t>The gender pay gap is a prominent issue especially in the health and care sector, where women earn approximately 20% less than men.</w:t>
      </w:r>
      <w:r w:rsidR="22174388" w:rsidRPr="0D7A0839">
        <w:rPr>
          <w:rStyle w:val="FootnoteReference"/>
          <w:rFonts w:ascii="Calibri" w:eastAsia="Calibri" w:hAnsi="Calibri" w:cs="Calibri"/>
          <w:color w:val="000000" w:themeColor="text1"/>
        </w:rPr>
        <w:footnoteReference w:id="51"/>
      </w:r>
      <w:r w:rsidRPr="0D7A0839">
        <w:rPr>
          <w:rFonts w:ascii="Calibri" w:eastAsia="Calibri" w:hAnsi="Calibri" w:cs="Calibri"/>
          <w:color w:val="000000" w:themeColor="text1"/>
        </w:rPr>
        <w:t xml:space="preserve"> Furthermore, the additional burden of unpaid care and domestic work at home negatively impacts women’s participation in the labour market, especially where access to care services are lacking. Women tend to take part-time, temporary, under-paid jobs that they juggle with the disproportionate burden of household and unpaid care responsibilities.</w:t>
      </w:r>
      <w:r w:rsidR="22174388" w:rsidRPr="0D7A0839">
        <w:rPr>
          <w:rStyle w:val="FootnoteReference"/>
          <w:rFonts w:ascii="Calibri" w:eastAsia="Calibri" w:hAnsi="Calibri" w:cs="Calibri"/>
          <w:color w:val="000000" w:themeColor="text1"/>
        </w:rPr>
        <w:footnoteReference w:id="52"/>
      </w:r>
      <w:r w:rsidRPr="0D7A0839">
        <w:rPr>
          <w:rFonts w:ascii="Calibri" w:eastAsia="Calibri" w:hAnsi="Calibri" w:cs="Calibri"/>
          <w:color w:val="000000" w:themeColor="text1"/>
        </w:rPr>
        <w:t xml:space="preserve"> Indeed, higher participation of women in paid employment can be found in countries with higher public expenditure on care policies.</w:t>
      </w:r>
      <w:r w:rsidR="22174388" w:rsidRPr="0D7A0839">
        <w:rPr>
          <w:rStyle w:val="FootnoteReference"/>
          <w:rFonts w:ascii="Calibri" w:eastAsia="Calibri" w:hAnsi="Calibri" w:cs="Calibri"/>
          <w:color w:val="000000" w:themeColor="text1"/>
        </w:rPr>
        <w:footnoteReference w:id="53"/>
      </w:r>
      <w:r w:rsidRPr="0D7A0839">
        <w:rPr>
          <w:rFonts w:ascii="Calibri" w:eastAsia="Calibri" w:hAnsi="Calibri" w:cs="Calibri"/>
          <w:color w:val="000000" w:themeColor="text1"/>
        </w:rPr>
        <w:t xml:space="preserve"> Moreover, while women make up most of the health</w:t>
      </w:r>
      <w:r w:rsidR="602BFED5">
        <w:rPr>
          <w:rFonts w:ascii="Calibri" w:eastAsia="Calibri" w:hAnsi="Calibri" w:cs="Calibri"/>
          <w:color w:val="000000" w:themeColor="text1"/>
        </w:rPr>
        <w:t xml:space="preserve"> and </w:t>
      </w:r>
      <w:r w:rsidRPr="0D7A0839">
        <w:rPr>
          <w:rFonts w:ascii="Calibri" w:eastAsia="Calibri" w:hAnsi="Calibri" w:cs="Calibri"/>
          <w:color w:val="000000" w:themeColor="text1"/>
        </w:rPr>
        <w:t>care workforce, they are underrepresented in leadership positions.</w:t>
      </w:r>
      <w:r w:rsidR="22174388" w:rsidRPr="0D7A0839">
        <w:rPr>
          <w:rStyle w:val="FootnoteReference"/>
          <w:rFonts w:ascii="Calibri" w:eastAsia="Calibri" w:hAnsi="Calibri" w:cs="Calibri"/>
          <w:color w:val="000000" w:themeColor="text1"/>
        </w:rPr>
        <w:footnoteReference w:id="54"/>
      </w:r>
      <w:r w:rsidRPr="0D7A0839">
        <w:rPr>
          <w:rFonts w:ascii="Calibri" w:eastAsia="Calibri" w:hAnsi="Calibri" w:cs="Calibri"/>
          <w:color w:val="000000" w:themeColor="text1"/>
        </w:rPr>
        <w:t xml:space="preserve"> The share of women in higher occupational categories is gradually increasing, but women remain overrepresented in lower functions.</w:t>
      </w:r>
    </w:p>
    <w:p w14:paraId="1B5D1763" w14:textId="1A5D7CB1" w:rsidR="0D7A0839" w:rsidRPr="000F57AA" w:rsidRDefault="22174388" w:rsidP="000F57AA">
      <w:pPr>
        <w:spacing w:after="0"/>
        <w:jc w:val="both"/>
        <w:rPr>
          <w:rFonts w:ascii="Calibri" w:eastAsia="Calibri" w:hAnsi="Calibri" w:cs="Calibri"/>
          <w:color w:val="000000" w:themeColor="text1"/>
          <w:vertAlign w:val="superscript"/>
        </w:rPr>
      </w:pPr>
      <w:r w:rsidRPr="0D7A0839">
        <w:rPr>
          <w:rFonts w:ascii="Calibri" w:eastAsia="Calibri" w:hAnsi="Calibri" w:cs="Calibri"/>
          <w:color w:val="000000" w:themeColor="text1"/>
        </w:rPr>
        <w:t>Gender segregation in the health</w:t>
      </w:r>
      <w:r w:rsidR="00DF6953">
        <w:rPr>
          <w:rFonts w:ascii="Calibri" w:eastAsia="Calibri" w:hAnsi="Calibri" w:cs="Calibri"/>
          <w:color w:val="000000" w:themeColor="text1"/>
        </w:rPr>
        <w:t xml:space="preserve"> and </w:t>
      </w:r>
      <w:r w:rsidRPr="0D7A0839">
        <w:rPr>
          <w:rFonts w:ascii="Calibri" w:eastAsia="Calibri" w:hAnsi="Calibri" w:cs="Calibri"/>
          <w:color w:val="000000" w:themeColor="text1"/>
        </w:rPr>
        <w:t>care professions is an issue that contributes to the workforce shortages. While men are increasingly joining the health and care sector, the sector is still highly feminised. For professions such as nursing, for instance, relying heavily on women does not generate enough labour supply to meet the demand, adding to the difficulties in finding new workers. By challenging the gender stereotypes and addressing gender segregation in education, the pool of people available to fill vacancies in the health</w:t>
      </w:r>
      <w:r w:rsidR="65EC43B9" w:rsidRPr="0D7A0839">
        <w:rPr>
          <w:rFonts w:ascii="Calibri" w:eastAsia="Calibri" w:hAnsi="Calibri" w:cs="Calibri"/>
          <w:color w:val="000000" w:themeColor="text1"/>
        </w:rPr>
        <w:t xml:space="preserve"> and </w:t>
      </w:r>
      <w:r w:rsidRPr="0D7A0839">
        <w:rPr>
          <w:rFonts w:ascii="Calibri" w:eastAsia="Calibri" w:hAnsi="Calibri" w:cs="Calibri"/>
          <w:color w:val="000000" w:themeColor="text1"/>
        </w:rPr>
        <w:t>care sector can be expanded.</w:t>
      </w:r>
      <w:r w:rsidRPr="0D7A0839">
        <w:rPr>
          <w:rStyle w:val="FootnoteReference"/>
          <w:rFonts w:ascii="Calibri" w:eastAsia="Calibri" w:hAnsi="Calibri" w:cs="Calibri"/>
          <w:color w:val="000000" w:themeColor="text1"/>
        </w:rPr>
        <w:footnoteReference w:id="55"/>
      </w:r>
    </w:p>
    <w:p w14:paraId="7F230E4B" w14:textId="23029A0C" w:rsidR="000D0C5E" w:rsidRPr="00AB4C30" w:rsidRDefault="00DB645A" w:rsidP="00851755">
      <w:pPr>
        <w:pStyle w:val="Heading2"/>
        <w:numPr>
          <w:ilvl w:val="1"/>
          <w:numId w:val="39"/>
        </w:numPr>
        <w:ind w:left="851"/>
      </w:pPr>
      <w:bookmarkStart w:id="7" w:name="_Toc159502617"/>
      <w:r>
        <w:t>Recovery of health systems</w:t>
      </w:r>
      <w:r w:rsidR="00600338">
        <w:t xml:space="preserve"> and organisational challenges</w:t>
      </w:r>
      <w:bookmarkEnd w:id="7"/>
    </w:p>
    <w:p w14:paraId="22ED3840" w14:textId="2DA91640" w:rsidR="00FF3319" w:rsidRDefault="00FF3319" w:rsidP="00EA6F38">
      <w:pPr>
        <w:pStyle w:val="Heading4"/>
        <w:numPr>
          <w:ilvl w:val="2"/>
          <w:numId w:val="39"/>
        </w:numPr>
        <w:spacing w:before="120" w:after="120"/>
      </w:pPr>
      <w:r>
        <w:t>Mental health challenges</w:t>
      </w:r>
    </w:p>
    <w:p w14:paraId="7A341173" w14:textId="4EBE2B3F" w:rsidR="00B91521" w:rsidRPr="004756ED" w:rsidRDefault="17D55DF5" w:rsidP="00EA6F38">
      <w:pPr>
        <w:jc w:val="both"/>
        <w:rPr>
          <w:rFonts w:eastAsia="Times New Roman" w:cs="Calibri"/>
          <w:kern w:val="0"/>
          <w14:ligatures w14:val="none"/>
        </w:rPr>
      </w:pPr>
      <w:r w:rsidRPr="00363CB9">
        <w:rPr>
          <w:rFonts w:eastAsia="Times New Roman" w:cs="Calibri"/>
          <w:kern w:val="0"/>
          <w14:ligatures w14:val="none"/>
        </w:rPr>
        <w:t xml:space="preserve">The </w:t>
      </w:r>
      <w:proofErr w:type="gramStart"/>
      <w:r w:rsidRPr="00363CB9">
        <w:rPr>
          <w:rFonts w:eastAsia="Times New Roman" w:cs="Calibri"/>
          <w:kern w:val="0"/>
          <w14:ligatures w14:val="none"/>
        </w:rPr>
        <w:t>aforementioned challenges</w:t>
      </w:r>
      <w:proofErr w:type="gramEnd"/>
      <w:r w:rsidRPr="00363CB9">
        <w:rPr>
          <w:rFonts w:eastAsia="Times New Roman" w:cs="Calibri"/>
          <w:kern w:val="0"/>
          <w14:ligatures w14:val="none"/>
        </w:rPr>
        <w:t xml:space="preserve"> of health</w:t>
      </w:r>
      <w:r w:rsidR="05F71CAF">
        <w:rPr>
          <w:rFonts w:eastAsia="Times New Roman" w:cs="Calibri"/>
          <w:kern w:val="0"/>
          <w14:ligatures w14:val="none"/>
        </w:rPr>
        <w:t xml:space="preserve"> and </w:t>
      </w:r>
      <w:r w:rsidRPr="00363CB9">
        <w:rPr>
          <w:rFonts w:eastAsia="Times New Roman" w:cs="Calibri"/>
          <w:kern w:val="0"/>
          <w14:ligatures w14:val="none"/>
        </w:rPr>
        <w:t>care workforce shortages and difficult working conditions also require better</w:t>
      </w:r>
      <w:r w:rsidR="05378B44" w:rsidRPr="00363CB9">
        <w:rPr>
          <w:rFonts w:eastAsia="Times New Roman" w:cs="Calibri"/>
          <w:kern w:val="0"/>
          <w14:ligatures w14:val="none"/>
        </w:rPr>
        <w:t xml:space="preserve"> consideration of</w:t>
      </w:r>
      <w:r w:rsidRPr="00363CB9">
        <w:rPr>
          <w:rFonts w:eastAsia="Times New Roman" w:cs="Calibri"/>
          <w:kern w:val="0"/>
          <w14:ligatures w14:val="none"/>
        </w:rPr>
        <w:t xml:space="preserve"> the workforce’s mental health. There needs to be a real awareness that mental health challenges have an unprecedented impact on the health and care workers. This results in an increasing rate of burnout among health and care workers, with multiple countries in the WHO European Region reporting 52% of workers feeling burnt out.</w:t>
      </w:r>
      <w:r w:rsidR="00B91521" w:rsidRPr="0041240C">
        <w:rPr>
          <w:rStyle w:val="FootnoteReference"/>
          <w:rFonts w:eastAsia="Times New Roman" w:cs="Calibri"/>
          <w:kern w:val="0"/>
          <w14:ligatures w14:val="none"/>
        </w:rPr>
        <w:footnoteReference w:id="56"/>
      </w:r>
      <w:r w:rsidR="1E658256">
        <w:rPr>
          <w:rFonts w:eastAsia="Times New Roman" w:cs="Calibri"/>
          <w:kern w:val="0"/>
          <w14:ligatures w14:val="none"/>
        </w:rPr>
        <w:t xml:space="preserve"> Furthermore</w:t>
      </w:r>
      <w:r w:rsidRPr="004756ED">
        <w:rPr>
          <w:rFonts w:eastAsia="Times New Roman" w:cs="Calibri"/>
          <w:kern w:val="0"/>
          <w14:ligatures w14:val="none"/>
        </w:rPr>
        <w:t>, the numbers of suicides</w:t>
      </w:r>
      <w:r w:rsidR="00B91521" w:rsidRPr="750DF1FB">
        <w:rPr>
          <w:rStyle w:val="FootnoteReference"/>
          <w:rFonts w:eastAsia="Times New Roman" w:cs="Calibri"/>
        </w:rPr>
        <w:footnoteReference w:id="57"/>
      </w:r>
      <w:r w:rsidRPr="004756ED">
        <w:rPr>
          <w:rFonts w:eastAsia="Times New Roman" w:cs="Calibri"/>
          <w:kern w:val="0"/>
          <w14:ligatures w14:val="none"/>
        </w:rPr>
        <w:t xml:space="preserve"> is still overlooked</w:t>
      </w:r>
      <w:r w:rsidR="11244D25">
        <w:rPr>
          <w:rFonts w:eastAsia="Times New Roman" w:cs="Calibri"/>
          <w:kern w:val="0"/>
          <w14:ligatures w14:val="none"/>
        </w:rPr>
        <w:t>, particularly regarding nurses</w:t>
      </w:r>
      <w:r w:rsidR="1E658256">
        <w:rPr>
          <w:rFonts w:eastAsia="Times New Roman" w:cs="Calibri"/>
          <w:kern w:val="0"/>
          <w14:ligatures w14:val="none"/>
        </w:rPr>
        <w:t xml:space="preserve">. </w:t>
      </w:r>
      <w:r w:rsidRPr="004756ED">
        <w:rPr>
          <w:rFonts w:eastAsia="Times New Roman" w:cs="Calibri"/>
          <w:kern w:val="0"/>
          <w14:ligatures w14:val="none"/>
        </w:rPr>
        <w:t xml:space="preserve">Issues can include </w:t>
      </w:r>
      <w:r>
        <w:rPr>
          <w:rFonts w:eastAsia="Times New Roman" w:cs="Calibri"/>
          <w:kern w:val="0"/>
          <w14:ligatures w14:val="none"/>
        </w:rPr>
        <w:t xml:space="preserve">overworking, </w:t>
      </w:r>
      <w:r w:rsidRPr="004756ED">
        <w:rPr>
          <w:rFonts w:eastAsia="Times New Roman" w:cs="Calibri"/>
          <w:kern w:val="0"/>
          <w14:ligatures w14:val="none"/>
        </w:rPr>
        <w:t xml:space="preserve">loss of interest in the profession, </w:t>
      </w:r>
      <w:r w:rsidR="40C23EE4" w:rsidRPr="004756ED">
        <w:rPr>
          <w:rFonts w:eastAsia="Times New Roman" w:cs="Calibri"/>
          <w:kern w:val="0"/>
          <w14:ligatures w14:val="none"/>
        </w:rPr>
        <w:t xml:space="preserve">pressure </w:t>
      </w:r>
      <w:r>
        <w:rPr>
          <w:rFonts w:eastAsia="Times New Roman" w:cs="Calibri"/>
          <w:kern w:val="0"/>
          <w14:ligatures w14:val="none"/>
        </w:rPr>
        <w:t>to leave the profession</w:t>
      </w:r>
      <w:r w:rsidRPr="004756ED">
        <w:rPr>
          <w:rFonts w:eastAsia="Times New Roman" w:cs="Calibri"/>
          <w:kern w:val="0"/>
          <w14:ligatures w14:val="none"/>
        </w:rPr>
        <w:t xml:space="preserve">, impacts on personal life and physical and mental health due to stress, </w:t>
      </w:r>
      <w:proofErr w:type="gramStart"/>
      <w:r w:rsidRPr="004756ED">
        <w:rPr>
          <w:rFonts w:eastAsia="Times New Roman" w:cs="Calibri"/>
          <w:kern w:val="0"/>
          <w14:ligatures w14:val="none"/>
        </w:rPr>
        <w:t>illness</w:t>
      </w:r>
      <w:proofErr w:type="gramEnd"/>
      <w:r w:rsidRPr="004756ED">
        <w:rPr>
          <w:rFonts w:eastAsia="Times New Roman" w:cs="Calibri"/>
          <w:kern w:val="0"/>
          <w14:ligatures w14:val="none"/>
        </w:rPr>
        <w:t xml:space="preserve"> or burnout. </w:t>
      </w:r>
      <w:r>
        <w:rPr>
          <w:rFonts w:eastAsia="Times New Roman" w:cs="Calibri"/>
          <w:kern w:val="0"/>
          <w14:ligatures w14:val="none"/>
        </w:rPr>
        <w:t>Furthermore, w</w:t>
      </w:r>
      <w:r w:rsidRPr="004756ED">
        <w:rPr>
          <w:rFonts w:eastAsia="Times New Roman" w:cs="Calibri"/>
          <w:kern w:val="0"/>
          <w14:ligatures w14:val="none"/>
        </w:rPr>
        <w:t>orking in the health and care sector has not shown to be a safe and trustful working environment</w:t>
      </w:r>
      <w:r>
        <w:rPr>
          <w:rFonts w:eastAsia="Times New Roman" w:cs="Calibri"/>
          <w:kern w:val="0"/>
          <w14:ligatures w14:val="none"/>
        </w:rPr>
        <w:t xml:space="preserve"> in the last years</w:t>
      </w:r>
      <w:r w:rsidR="60E483E3">
        <w:rPr>
          <w:rFonts w:eastAsia="Times New Roman" w:cs="Calibri"/>
          <w:kern w:val="0"/>
          <w14:ligatures w14:val="none"/>
        </w:rPr>
        <w:t xml:space="preserve">, as shown by the reports on </w:t>
      </w:r>
      <w:r w:rsidRPr="004756ED">
        <w:rPr>
          <w:rFonts w:eastAsia="Times New Roman" w:cs="Calibri"/>
          <w:kern w:val="0"/>
          <w14:ligatures w14:val="none"/>
        </w:rPr>
        <w:t xml:space="preserve">health and safety risks at work </w:t>
      </w:r>
      <w:r w:rsidR="60E483E3">
        <w:rPr>
          <w:rFonts w:eastAsia="Times New Roman" w:cs="Calibri"/>
          <w:kern w:val="0"/>
          <w14:ligatures w14:val="none"/>
        </w:rPr>
        <w:t>mentioned above</w:t>
      </w:r>
      <w:r w:rsidRPr="004756ED">
        <w:rPr>
          <w:rFonts w:eastAsia="Times New Roman" w:cs="Calibri"/>
          <w:kern w:val="0"/>
          <w14:ligatures w14:val="none"/>
        </w:rPr>
        <w:t>.</w:t>
      </w:r>
      <w:r w:rsidR="00B91521" w:rsidRPr="0041240C">
        <w:rPr>
          <w:rStyle w:val="FootnoteReference"/>
          <w:rFonts w:eastAsia="Times New Roman" w:cs="Calibri"/>
        </w:rPr>
        <w:footnoteReference w:id="58"/>
      </w:r>
    </w:p>
    <w:p w14:paraId="3A8E67DB" w14:textId="0565AB4C" w:rsidR="00B91521" w:rsidRDefault="17D55DF5" w:rsidP="00EA6F38">
      <w:pPr>
        <w:jc w:val="both"/>
      </w:pPr>
      <w:r w:rsidRPr="0041240C">
        <w:t xml:space="preserve">The impact of the COVID-19 pandemic on the </w:t>
      </w:r>
      <w:r w:rsidR="0E0BB1BF">
        <w:t xml:space="preserve">mental health of </w:t>
      </w:r>
      <w:r w:rsidRPr="0041240C">
        <w:t>health and care workforce</w:t>
      </w:r>
      <w:r>
        <w:t xml:space="preserve"> in training</w:t>
      </w:r>
      <w:r w:rsidRPr="0041240C">
        <w:t xml:space="preserve"> should also be assessed. In a survey with Public Health Residents in France, Italy, </w:t>
      </w:r>
      <w:proofErr w:type="gramStart"/>
      <w:r w:rsidRPr="0041240C">
        <w:t>Portugal</w:t>
      </w:r>
      <w:proofErr w:type="gramEnd"/>
      <w:r w:rsidRPr="0041240C">
        <w:t xml:space="preserve"> and Spain, it was found that 60.5% of the respondents showed symptoms of depression, while 43% had anxiety symptoms, and 61% showed stress symptoms. The study also found that female residents were more affected by the depression symptoms, particularly those </w:t>
      </w:r>
      <w:r w:rsidR="23730E5F" w:rsidRPr="0041240C">
        <w:t xml:space="preserve">who </w:t>
      </w:r>
      <w:r w:rsidRPr="0041240C">
        <w:t>had lost work-related opportunities.</w:t>
      </w:r>
      <w:r w:rsidR="00B91521" w:rsidRPr="0041240C">
        <w:rPr>
          <w:rStyle w:val="FootnoteReference"/>
        </w:rPr>
        <w:footnoteReference w:id="59"/>
      </w:r>
      <w:r>
        <w:t xml:space="preserve"> </w:t>
      </w:r>
      <w:r w:rsidRPr="0041240C">
        <w:t xml:space="preserve">Prior to the pandemic, studies had </w:t>
      </w:r>
      <w:r w:rsidR="3FD1C3A4" w:rsidRPr="0041240C">
        <w:t xml:space="preserve">already </w:t>
      </w:r>
      <w:r w:rsidRPr="0041240C">
        <w:t>shown that mental distress among physicians during their training is quite common. A stronger support system</w:t>
      </w:r>
      <w:r w:rsidR="6009E707">
        <w:t xml:space="preserve"> is needed,</w:t>
      </w:r>
      <w:r w:rsidRPr="0041240C">
        <w:t xml:space="preserve"> especially during the first residency years.</w:t>
      </w:r>
      <w:r w:rsidR="00B91521" w:rsidRPr="0041240C">
        <w:rPr>
          <w:rStyle w:val="FootnoteReference"/>
        </w:rPr>
        <w:footnoteReference w:id="60"/>
      </w:r>
    </w:p>
    <w:p w14:paraId="69FE5F01" w14:textId="7E247F83" w:rsidR="00B91521" w:rsidRPr="00B91521" w:rsidRDefault="17D55DF5" w:rsidP="00EA6F38">
      <w:pPr>
        <w:jc w:val="both"/>
      </w:pPr>
      <w:r w:rsidRPr="0041240C">
        <w:t xml:space="preserve">This is a key problem </w:t>
      </w:r>
      <w:r w:rsidR="7E31CF6A" w:rsidRPr="0041240C">
        <w:t xml:space="preserve">influencing </w:t>
      </w:r>
      <w:r w:rsidRPr="0041240C">
        <w:t xml:space="preserve">the attractivity of the health and care professions and </w:t>
      </w:r>
      <w:r w:rsidR="50215DD0" w:rsidRPr="0041240C">
        <w:t xml:space="preserve">contributing </w:t>
      </w:r>
      <w:r w:rsidRPr="0041240C">
        <w:t>to the lack of health</w:t>
      </w:r>
      <w:r w:rsidR="05F71CAF">
        <w:t xml:space="preserve"> and </w:t>
      </w:r>
      <w:r w:rsidRPr="0041240C">
        <w:t xml:space="preserve">care workforce as well as </w:t>
      </w:r>
      <w:r w:rsidR="6C3754CA" w:rsidRPr="0041240C">
        <w:t xml:space="preserve">to </w:t>
      </w:r>
      <w:r w:rsidRPr="0041240C">
        <w:t>the decreased productivity of those who are currently working.</w:t>
      </w:r>
      <w:r>
        <w:t xml:space="preserve"> T</w:t>
      </w:r>
      <w:r w:rsidRPr="0041240C">
        <w:t xml:space="preserve">he development of a Directive on </w:t>
      </w:r>
      <w:r>
        <w:t>work-related p</w:t>
      </w:r>
      <w:r w:rsidRPr="0041240C">
        <w:t>sychosocial risks</w:t>
      </w:r>
      <w:r>
        <w:t>, called for by the European Parliament</w:t>
      </w:r>
      <w:r w:rsidR="00B91521">
        <w:rPr>
          <w:rStyle w:val="FootnoteReference"/>
        </w:rPr>
        <w:footnoteReference w:id="61"/>
      </w:r>
      <w:r>
        <w:t>,</w:t>
      </w:r>
      <w:r w:rsidRPr="0041240C">
        <w:t xml:space="preserve"> would be key</w:t>
      </w:r>
      <w:r>
        <w:t xml:space="preserve"> regarding these points.</w:t>
      </w:r>
    </w:p>
    <w:p w14:paraId="4147FD17" w14:textId="793600C5" w:rsidR="000432B4" w:rsidRPr="00AB4C30" w:rsidRDefault="00600338" w:rsidP="00EA6F38">
      <w:pPr>
        <w:pStyle w:val="Heading4"/>
        <w:numPr>
          <w:ilvl w:val="2"/>
          <w:numId w:val="39"/>
        </w:numPr>
        <w:spacing w:before="120" w:after="120"/>
      </w:pPr>
      <w:r>
        <w:t xml:space="preserve">Lack of </w:t>
      </w:r>
      <w:r w:rsidR="00B0016D">
        <w:t>long-term</w:t>
      </w:r>
      <w:r>
        <w:t xml:space="preserve"> planning</w:t>
      </w:r>
    </w:p>
    <w:p w14:paraId="4AE54995" w14:textId="14BA3BC8" w:rsidR="005D54BC" w:rsidRPr="0041240C" w:rsidRDefault="78ACF4EB" w:rsidP="00EA6F38">
      <w:pPr>
        <w:jc w:val="both"/>
      </w:pPr>
      <w:r w:rsidRPr="0041240C">
        <w:t xml:space="preserve">There is a lack of planning and forecasting of the available health and care workforce, which relates to the shortages and the other challenges highlighted above. Long-term planning would allow to specify what health systems need in terms of health and care workforce. However, to be able to do so, more systematically collected, </w:t>
      </w:r>
      <w:proofErr w:type="gramStart"/>
      <w:r w:rsidRPr="0041240C">
        <w:t>analysed</w:t>
      </w:r>
      <w:proofErr w:type="gramEnd"/>
      <w:r w:rsidRPr="0041240C">
        <w:t xml:space="preserve"> and reported data are needed.</w:t>
      </w:r>
      <w:r w:rsidR="005D54BC" w:rsidRPr="0041240C">
        <w:rPr>
          <w:rStyle w:val="FootnoteReference"/>
        </w:rPr>
        <w:footnoteReference w:id="62"/>
      </w:r>
    </w:p>
    <w:p w14:paraId="356375AA" w14:textId="77777777" w:rsidR="005D54BC" w:rsidRDefault="7D34F618" w:rsidP="00EA6F38">
      <w:pPr>
        <w:jc w:val="both"/>
      </w:pPr>
      <w:r w:rsidRPr="0041240C">
        <w:t xml:space="preserve">Over the past decade, </w:t>
      </w:r>
      <w:proofErr w:type="gramStart"/>
      <w:r w:rsidRPr="0041240C">
        <w:t>a number of</w:t>
      </w:r>
      <w:proofErr w:type="gramEnd"/>
      <w:r w:rsidRPr="0041240C">
        <w:t xml:space="preserve"> initiatives have been developed, such as the ‘HEROES’ Joint Action (Health workforce to meet health challenges)</w:t>
      </w:r>
      <w:r w:rsidR="005D54BC" w:rsidRPr="0041240C">
        <w:rPr>
          <w:rStyle w:val="FootnoteReference"/>
        </w:rPr>
        <w:footnoteReference w:id="63"/>
      </w:r>
      <w:r w:rsidRPr="0041240C">
        <w:t>, a successor program of the JA Health Workforce and the SEPEN Joint Tender</w:t>
      </w:r>
      <w:r w:rsidR="005D54BC">
        <w:rPr>
          <w:rStyle w:val="FootnoteReference"/>
        </w:rPr>
        <w:footnoteReference w:id="64"/>
      </w:r>
      <w:r w:rsidRPr="0041240C">
        <w:t>. These projects have achieved important results in the field of planning and forecasting of health workforce.</w:t>
      </w:r>
      <w:r>
        <w:t xml:space="preserve"> The aim of the SEPEN Joint Tender was to foster cross-country cooperation and provide support to Member States in increasing knowledge and improving tools, to achieve higher effectiveness in health workforce planning processes.</w:t>
      </w:r>
      <w:r w:rsidR="005D54BC">
        <w:rPr>
          <w:rStyle w:val="FootnoteReference"/>
        </w:rPr>
        <w:footnoteReference w:id="65"/>
      </w:r>
      <w:r w:rsidRPr="0041240C">
        <w:t xml:space="preserve"> </w:t>
      </w:r>
      <w:r>
        <w:t>The HEROES Joint Action focuses on four areas to reach its aims: databases and data collection on health workforce supply and demand; forecasting tools and planning methodologies to address the workforce’s future challenges; development and enhancement of skills and capacities for the effective management of workforce planning systems; and stakeholder engagement. The project will also test and pilot good practices at national and regional levels.</w:t>
      </w:r>
      <w:r w:rsidR="005D54BC">
        <w:rPr>
          <w:rStyle w:val="FootnoteReference"/>
        </w:rPr>
        <w:footnoteReference w:id="66"/>
      </w:r>
    </w:p>
    <w:p w14:paraId="10916D5D" w14:textId="4FD9A260" w:rsidR="00DB645A" w:rsidRDefault="00DB645A" w:rsidP="00EA6F38">
      <w:pPr>
        <w:pStyle w:val="Heading4"/>
        <w:numPr>
          <w:ilvl w:val="2"/>
          <w:numId w:val="39"/>
        </w:numPr>
        <w:spacing w:before="120" w:after="120"/>
      </w:pPr>
      <w:r>
        <w:t xml:space="preserve">Lack of </w:t>
      </w:r>
      <w:r w:rsidR="00600338">
        <w:t>cross-sector</w:t>
      </w:r>
      <w:r w:rsidR="00627395">
        <w:t>al</w:t>
      </w:r>
      <w:r w:rsidR="00600338">
        <w:t xml:space="preserve"> cooperation</w:t>
      </w:r>
    </w:p>
    <w:p w14:paraId="2A192D2D" w14:textId="3E5808CB" w:rsidR="00627395" w:rsidRDefault="110095B8" w:rsidP="00E2293E">
      <w:pPr>
        <w:jc w:val="both"/>
      </w:pPr>
      <w:r>
        <w:t>All sectors of the healthcare system and health and care workforce are facing challenges. However, an overarching issue is the lack of horizontal approach and cross-sectoral cooperation in solving these challenges. A public health perspective could help tackling these issues as it focuses on cross-sectoral elements that cannot be addressed by one sector alone.</w:t>
      </w:r>
    </w:p>
    <w:p w14:paraId="22E6CE59" w14:textId="724992D5" w:rsidR="00627395" w:rsidRDefault="00627395" w:rsidP="00E2293E">
      <w:pPr>
        <w:jc w:val="both"/>
      </w:pPr>
      <w:r>
        <w:t>Indeed, t</w:t>
      </w:r>
      <w:r w:rsidRPr="0041240C">
        <w:t>reatment</w:t>
      </w:r>
      <w:r>
        <w:t xml:space="preserve"> and care</w:t>
      </w:r>
      <w:r w:rsidRPr="0041240C">
        <w:t xml:space="preserve"> very often require the involvement of different health</w:t>
      </w:r>
      <w:r w:rsidR="00DF6953">
        <w:t xml:space="preserve"> and </w:t>
      </w:r>
      <w:r w:rsidRPr="0041240C">
        <w:t>care professionals and levels of care. There is a growing need for highly educated and specialised health</w:t>
      </w:r>
      <w:r w:rsidR="00DF6953">
        <w:t xml:space="preserve"> and </w:t>
      </w:r>
      <w:r w:rsidRPr="0041240C">
        <w:t>care professionals that can ensure the appropriate transition of patients between care settings.</w:t>
      </w:r>
      <w:r>
        <w:t xml:space="preserve"> </w:t>
      </w:r>
      <w:r w:rsidRPr="005047B4">
        <w:rPr>
          <w:rFonts w:cs="Calibri"/>
        </w:rPr>
        <w:t xml:space="preserve">Cross-sectoral cooperation also has positive benefits for treatment outcomes. In the field of antimicrobial resistance, multidisciplinary teams have proven to be essential for lowering the consumption of antimicrobials and resistance to them. </w:t>
      </w:r>
    </w:p>
    <w:p w14:paraId="2BBB2983" w14:textId="0D0B536C" w:rsidR="00867797" w:rsidRPr="00867797" w:rsidRDefault="61321C44" w:rsidP="00E2293E">
      <w:pPr>
        <w:jc w:val="both"/>
      </w:pPr>
      <w:r>
        <w:t>Beyond developing and strengthening cooperation between the different professions of the health and care workforce, cooperation with other sectors should also be envisaged to address the health and care workforce challenges. This c</w:t>
      </w:r>
      <w:r w:rsidRPr="0041240C">
        <w:t>ross-sectoral approach implies a focus beyond only the biomedical view of health, and rather a shift to all sectors and levels of society and government based on the social determinants of health (i.e., employment, education, housing, or social affairs).</w:t>
      </w:r>
      <w:r w:rsidR="00627395" w:rsidRPr="0041240C">
        <w:rPr>
          <w:rStyle w:val="FootnoteReference"/>
        </w:rPr>
        <w:footnoteReference w:id="67"/>
      </w:r>
      <w:r>
        <w:t xml:space="preserve"> </w:t>
      </w:r>
      <w:r w:rsidR="662E2095">
        <w:t>This could be enabled through a stronger policy framework.</w:t>
      </w:r>
    </w:p>
    <w:p w14:paraId="0E728521" w14:textId="77777777" w:rsidR="002A34BB" w:rsidRDefault="002A34BB">
      <w:pPr>
        <w:spacing w:before="0" w:after="160"/>
        <w:rPr>
          <w:rFonts w:asciiTheme="majorHAnsi" w:eastAsiaTheme="majorEastAsia" w:hAnsiTheme="majorHAnsi" w:cstheme="majorBidi"/>
          <w:color w:val="2F5496" w:themeColor="accent1" w:themeShade="BF"/>
          <w:sz w:val="32"/>
          <w:szCs w:val="32"/>
        </w:rPr>
      </w:pPr>
      <w:r>
        <w:br w:type="page"/>
      </w:r>
    </w:p>
    <w:p w14:paraId="539C3D42" w14:textId="6F7C4BBD" w:rsidR="00762E7B" w:rsidRPr="00756044" w:rsidRDefault="00DD71B6" w:rsidP="00237F75">
      <w:pPr>
        <w:pStyle w:val="Heading1"/>
        <w:numPr>
          <w:ilvl w:val="0"/>
          <w:numId w:val="39"/>
        </w:numPr>
        <w:jc w:val="both"/>
      </w:pPr>
      <w:bookmarkStart w:id="8" w:name="_Toc159502618"/>
      <w:r w:rsidRPr="00756044">
        <w:t>Addressing the health and care workforce challenges</w:t>
      </w:r>
      <w:bookmarkEnd w:id="8"/>
    </w:p>
    <w:p w14:paraId="707AD0D2" w14:textId="7BC3E541" w:rsidR="00D753CE" w:rsidRPr="00756044" w:rsidRDefault="007F0968" w:rsidP="009D3010">
      <w:pPr>
        <w:pStyle w:val="Heading2"/>
        <w:numPr>
          <w:ilvl w:val="1"/>
          <w:numId w:val="40"/>
        </w:numPr>
      </w:pPr>
      <w:bookmarkStart w:id="9" w:name="_Toc159502619"/>
      <w:r w:rsidRPr="00756044">
        <w:t>The need for stronger health and care workforce policies</w:t>
      </w:r>
      <w:bookmarkEnd w:id="9"/>
    </w:p>
    <w:p w14:paraId="12FA32BF" w14:textId="41756A70" w:rsidR="00282B89" w:rsidRPr="00756044" w:rsidRDefault="00282B89" w:rsidP="00282B89">
      <w:pPr>
        <w:jc w:val="both"/>
      </w:pPr>
      <w:r w:rsidRPr="00756044">
        <w:t xml:space="preserve">To address the health and care workforce challenges, strengthen primary care and implement the necessary policies, strong political will and support are needed, </w:t>
      </w:r>
      <w:r w:rsidR="009F7232">
        <w:t xml:space="preserve">both </w:t>
      </w:r>
      <w:r w:rsidRPr="00756044">
        <w:t xml:space="preserve">from the EU and the Member States. This includes stronger governance in terms of public health policy, stronger cooperation within the health sector but also with other </w:t>
      </w:r>
      <w:r w:rsidR="00321448">
        <w:t>policy areas</w:t>
      </w:r>
      <w:r w:rsidRPr="00756044">
        <w:t xml:space="preserve"> such as education. Key investments are also needed to support the implementation of such policies.</w:t>
      </w:r>
    </w:p>
    <w:p w14:paraId="237973E0" w14:textId="77777777" w:rsidR="00D753CE" w:rsidRPr="00756044" w:rsidRDefault="00D753CE" w:rsidP="00EA6F38">
      <w:pPr>
        <w:pStyle w:val="Heading3"/>
        <w:numPr>
          <w:ilvl w:val="2"/>
          <w:numId w:val="40"/>
        </w:numPr>
        <w:spacing w:before="120" w:after="120"/>
      </w:pPr>
      <w:bookmarkStart w:id="10" w:name="_Toc159502620"/>
      <w:r w:rsidRPr="00756044">
        <w:t>Stronger governance and intersectoral approach</w:t>
      </w:r>
      <w:bookmarkEnd w:id="10"/>
      <w:r w:rsidRPr="00756044">
        <w:t xml:space="preserve"> </w:t>
      </w:r>
    </w:p>
    <w:p w14:paraId="6A36745E" w14:textId="43001642" w:rsidR="005367D2" w:rsidRPr="00756044" w:rsidRDefault="005367D2" w:rsidP="00EA6F38">
      <w:pPr>
        <w:jc w:val="both"/>
      </w:pPr>
      <w:r w:rsidRPr="00756044">
        <w:t xml:space="preserve">As demonstrated above, the challenge of health and care workforce shortages needs to be addressed, through the implementation of key policies at different governance levels. The AHEAD project (Box </w:t>
      </w:r>
      <w:r>
        <w:t>1</w:t>
      </w:r>
      <w:r w:rsidRPr="00756044">
        <w:t>) has developed recommendations in that regard.</w:t>
      </w:r>
    </w:p>
    <w:p w14:paraId="6745FDB1" w14:textId="3BD10866" w:rsidR="000E69FF" w:rsidRDefault="19F49D34" w:rsidP="00EA6F38">
      <w:pPr>
        <w:pStyle w:val="Caption"/>
        <w:keepNext/>
        <w:spacing w:before="120" w:after="120"/>
        <w:jc w:val="center"/>
      </w:pPr>
      <w:r>
        <w:t xml:space="preserve">Box </w:t>
      </w:r>
      <w:r w:rsidR="000E69FF">
        <w:fldChar w:fldCharType="begin"/>
      </w:r>
      <w:r w:rsidR="000E69FF">
        <w:instrText xml:space="preserve"> SEQ Box \* ARABIC </w:instrText>
      </w:r>
      <w:r w:rsidR="000E69FF">
        <w:fldChar w:fldCharType="separate"/>
      </w:r>
      <w:r w:rsidR="409A27CA">
        <w:rPr>
          <w:noProof/>
        </w:rPr>
        <w:t>1</w:t>
      </w:r>
      <w:r w:rsidR="000E69FF">
        <w:fldChar w:fldCharType="end"/>
      </w:r>
      <w:r>
        <w:t xml:space="preserve"> AHEAD Project</w:t>
      </w:r>
      <w:r w:rsidR="006868E4" w:rsidRPr="00756044">
        <w:rPr>
          <w:rStyle w:val="FootnoteReference"/>
        </w:rPr>
        <w:footnoteReference w:id="68"/>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62"/>
      </w:tblGrid>
      <w:tr w:rsidR="000E69FF" w:rsidRPr="005B5802" w14:paraId="5A16E54D" w14:textId="77777777" w:rsidTr="792FB4BB">
        <w:tc>
          <w:tcPr>
            <w:tcW w:w="9062" w:type="dxa"/>
            <w:shd w:val="clear" w:color="auto" w:fill="D9E2F3" w:themeFill="accent1" w:themeFillTint="33"/>
          </w:tcPr>
          <w:p w14:paraId="2402A06D" w14:textId="5D363DF0" w:rsidR="006868E4" w:rsidRPr="005B5802" w:rsidRDefault="006868E4" w:rsidP="00EA6F38">
            <w:pPr>
              <w:jc w:val="both"/>
              <w:rPr>
                <w:sz w:val="20"/>
                <w:szCs w:val="20"/>
              </w:rPr>
            </w:pPr>
            <w:r w:rsidRPr="005B5802">
              <w:rPr>
                <w:sz w:val="20"/>
                <w:szCs w:val="20"/>
              </w:rPr>
              <w:t>The AHEAD project has developed recommendations regarding shortages, through actions focusing on retention policies, medical deserts and task shifting. The project features a medical deserts diagnostic tool and a consensus building methodology, aiming at gathering stakeholders playing a role in or affected by medical desertification.</w:t>
            </w:r>
          </w:p>
          <w:p w14:paraId="1A9B2F48" w14:textId="52D1DD10" w:rsidR="00A411BB" w:rsidRPr="005B5802" w:rsidRDefault="434F5B62" w:rsidP="00EA6F38">
            <w:pPr>
              <w:jc w:val="both"/>
              <w:rPr>
                <w:sz w:val="20"/>
                <w:szCs w:val="20"/>
              </w:rPr>
            </w:pPr>
            <w:r w:rsidRPr="792FB4BB">
              <w:rPr>
                <w:sz w:val="20"/>
                <w:szCs w:val="20"/>
              </w:rPr>
              <w:t>The project aimed, among other</w:t>
            </w:r>
            <w:r w:rsidR="030E2131" w:rsidRPr="792FB4BB">
              <w:rPr>
                <w:sz w:val="20"/>
                <w:szCs w:val="20"/>
              </w:rPr>
              <w:t>s</w:t>
            </w:r>
            <w:r w:rsidRPr="792FB4BB">
              <w:rPr>
                <w:sz w:val="20"/>
                <w:szCs w:val="20"/>
              </w:rPr>
              <w:t xml:space="preserve">, at putting the issue on the agenda and </w:t>
            </w:r>
            <w:r w:rsidR="030E2131" w:rsidRPr="792FB4BB">
              <w:rPr>
                <w:sz w:val="20"/>
                <w:szCs w:val="20"/>
              </w:rPr>
              <w:t>making</w:t>
            </w:r>
            <w:r w:rsidRPr="792FB4BB">
              <w:rPr>
                <w:sz w:val="20"/>
                <w:szCs w:val="20"/>
              </w:rPr>
              <w:t xml:space="preserve"> it a priority in the next Commission’s mandate, as well as encourag</w:t>
            </w:r>
            <w:r w:rsidR="0ED53689" w:rsidRPr="792FB4BB">
              <w:rPr>
                <w:sz w:val="20"/>
                <w:szCs w:val="20"/>
              </w:rPr>
              <w:t>ing</w:t>
            </w:r>
            <w:r w:rsidRPr="792FB4BB">
              <w:rPr>
                <w:sz w:val="20"/>
                <w:szCs w:val="20"/>
              </w:rPr>
              <w:t xml:space="preserve"> Member States in the use of available data and tools to identify medical deserts or areas at risk. It also aimed a</w:t>
            </w:r>
            <w:r w:rsidR="1F6C5425" w:rsidRPr="792FB4BB">
              <w:rPr>
                <w:sz w:val="20"/>
                <w:szCs w:val="20"/>
              </w:rPr>
              <w:t>t</w:t>
            </w:r>
            <w:r w:rsidRPr="792FB4BB">
              <w:rPr>
                <w:sz w:val="20"/>
                <w:szCs w:val="20"/>
              </w:rPr>
              <w:t xml:space="preserve"> improving data availability on the issue.</w:t>
            </w:r>
          </w:p>
          <w:p w14:paraId="6E22D84A" w14:textId="4221A418" w:rsidR="00886C8F" w:rsidRPr="005B5802" w:rsidRDefault="1F6C5425" w:rsidP="00EA6F38">
            <w:pPr>
              <w:jc w:val="both"/>
              <w:rPr>
                <w:sz w:val="20"/>
                <w:szCs w:val="20"/>
              </w:rPr>
            </w:pPr>
            <w:r w:rsidRPr="792FB4BB">
              <w:rPr>
                <w:sz w:val="20"/>
                <w:szCs w:val="20"/>
              </w:rPr>
              <w:t>The project formulated recommendations for Member States,</w:t>
            </w:r>
            <w:r w:rsidR="3E5631DA" w:rsidRPr="792FB4BB">
              <w:rPr>
                <w:sz w:val="20"/>
                <w:szCs w:val="20"/>
              </w:rPr>
              <w:t xml:space="preserve"> such as improving data collection related to health workforce and medical desertification, creating a dedicated taskforce, monitor</w:t>
            </w:r>
            <w:r w:rsidR="5C71B772" w:rsidRPr="792FB4BB">
              <w:rPr>
                <w:sz w:val="20"/>
                <w:szCs w:val="20"/>
              </w:rPr>
              <w:t>ing</w:t>
            </w:r>
            <w:r w:rsidR="3E5631DA" w:rsidRPr="792FB4BB">
              <w:rPr>
                <w:sz w:val="20"/>
                <w:szCs w:val="20"/>
              </w:rPr>
              <w:t xml:space="preserve"> medical deserts, creat</w:t>
            </w:r>
            <w:r w:rsidR="4946EC75" w:rsidRPr="792FB4BB">
              <w:rPr>
                <w:sz w:val="20"/>
                <w:szCs w:val="20"/>
              </w:rPr>
              <w:t>ing</w:t>
            </w:r>
            <w:r w:rsidR="3E5631DA" w:rsidRPr="792FB4BB">
              <w:rPr>
                <w:sz w:val="20"/>
                <w:szCs w:val="20"/>
              </w:rPr>
              <w:t xml:space="preserve"> a sustainable national strategy on medical deserts, recogniz</w:t>
            </w:r>
            <w:r w:rsidR="67048963" w:rsidRPr="792FB4BB">
              <w:rPr>
                <w:sz w:val="20"/>
                <w:szCs w:val="20"/>
              </w:rPr>
              <w:t>ing</w:t>
            </w:r>
            <w:r w:rsidR="3E5631DA" w:rsidRPr="792FB4BB">
              <w:rPr>
                <w:sz w:val="20"/>
                <w:szCs w:val="20"/>
              </w:rPr>
              <w:t xml:space="preserve"> citizens </w:t>
            </w:r>
            <w:proofErr w:type="gramStart"/>
            <w:r w:rsidR="3E5631DA" w:rsidRPr="792FB4BB">
              <w:rPr>
                <w:sz w:val="20"/>
                <w:szCs w:val="20"/>
              </w:rPr>
              <w:t>participation</w:t>
            </w:r>
            <w:proofErr w:type="gramEnd"/>
            <w:r w:rsidR="3E5631DA" w:rsidRPr="792FB4BB">
              <w:rPr>
                <w:sz w:val="20"/>
                <w:szCs w:val="20"/>
              </w:rPr>
              <w:t xml:space="preserve"> and increas</w:t>
            </w:r>
            <w:r w:rsidR="0BFA6BB0" w:rsidRPr="792FB4BB">
              <w:rPr>
                <w:sz w:val="20"/>
                <w:szCs w:val="20"/>
              </w:rPr>
              <w:t>ing</w:t>
            </w:r>
            <w:r w:rsidR="3E5631DA" w:rsidRPr="792FB4BB">
              <w:rPr>
                <w:sz w:val="20"/>
                <w:szCs w:val="20"/>
              </w:rPr>
              <w:t xml:space="preserve"> investments in health, education, economy, and digital infrastructure in areas with vulnerable populations and those in rural, remote and underserved communities.</w:t>
            </w:r>
          </w:p>
          <w:p w14:paraId="4F111943" w14:textId="77777777" w:rsidR="00025F81" w:rsidRPr="005B5802" w:rsidRDefault="00025F81" w:rsidP="00EA6F38">
            <w:pPr>
              <w:jc w:val="both"/>
              <w:rPr>
                <w:sz w:val="20"/>
                <w:szCs w:val="20"/>
              </w:rPr>
            </w:pPr>
            <w:r w:rsidRPr="005B5802">
              <w:rPr>
                <w:sz w:val="20"/>
                <w:szCs w:val="20"/>
              </w:rPr>
              <w:t>Recommendations were also drafted towards education institutes, including to ensure continuous education and professional development, with particular attention to those practising in rural and remote areas.</w:t>
            </w:r>
          </w:p>
          <w:p w14:paraId="032268B0" w14:textId="2AF1EBA1" w:rsidR="00025F81" w:rsidRPr="005B5802" w:rsidRDefault="4CB2E006" w:rsidP="00EA6F38">
            <w:pPr>
              <w:jc w:val="both"/>
              <w:rPr>
                <w:sz w:val="20"/>
                <w:szCs w:val="20"/>
              </w:rPr>
            </w:pPr>
            <w:r w:rsidRPr="792FB4BB">
              <w:rPr>
                <w:sz w:val="20"/>
                <w:szCs w:val="20"/>
              </w:rPr>
              <w:t>The project also advocates for national and regional health policy makers to invite health professionals</w:t>
            </w:r>
            <w:r w:rsidR="47864E64" w:rsidRPr="792FB4BB">
              <w:rPr>
                <w:sz w:val="20"/>
                <w:szCs w:val="20"/>
              </w:rPr>
              <w:t xml:space="preserve"> and several other </w:t>
            </w:r>
            <w:r w:rsidR="2E487490" w:rsidRPr="792FB4BB">
              <w:rPr>
                <w:sz w:val="20"/>
                <w:szCs w:val="20"/>
              </w:rPr>
              <w:t xml:space="preserve">relevant </w:t>
            </w:r>
            <w:r w:rsidR="47864E64" w:rsidRPr="792FB4BB">
              <w:rPr>
                <w:sz w:val="20"/>
                <w:szCs w:val="20"/>
              </w:rPr>
              <w:t>stakeholder groups (</w:t>
            </w:r>
            <w:r w:rsidRPr="792FB4BB">
              <w:rPr>
                <w:sz w:val="20"/>
                <w:szCs w:val="20"/>
              </w:rPr>
              <w:t>citizens' representatives, patient organizations, researchers, health care providers, health insurance companies</w:t>
            </w:r>
            <w:r w:rsidR="47864E64" w:rsidRPr="792FB4BB">
              <w:rPr>
                <w:sz w:val="20"/>
                <w:szCs w:val="20"/>
              </w:rPr>
              <w:t xml:space="preserve">) to take part in the co-creation </w:t>
            </w:r>
            <w:r w:rsidR="3768C74A" w:rsidRPr="792FB4BB">
              <w:rPr>
                <w:sz w:val="20"/>
                <w:szCs w:val="20"/>
              </w:rPr>
              <w:t xml:space="preserve">of </w:t>
            </w:r>
            <w:r w:rsidR="47864E64" w:rsidRPr="792FB4BB">
              <w:rPr>
                <w:sz w:val="20"/>
                <w:szCs w:val="20"/>
              </w:rPr>
              <w:t xml:space="preserve">policy solutions, promote the right to health for all, and create further awareness on the needs of the most vulnerable including in medical deserts. </w:t>
            </w:r>
          </w:p>
        </w:tc>
      </w:tr>
    </w:tbl>
    <w:p w14:paraId="57CD62E2" w14:textId="740EB11C" w:rsidR="003D7318" w:rsidRDefault="53CFBFDD" w:rsidP="00EA6F38">
      <w:pPr>
        <w:jc w:val="both"/>
      </w:pPr>
      <w:r w:rsidRPr="00D22784">
        <w:t>Top-level political leadership can support setting the required agenda for health and care workforce development, involving all the necessary sectors (i.e., education, finance, economy, health).</w:t>
      </w:r>
      <w:r w:rsidR="003D7318" w:rsidRPr="00D22784">
        <w:rPr>
          <w:vertAlign w:val="superscript"/>
        </w:rPr>
        <w:footnoteReference w:id="69"/>
      </w:r>
      <w:r w:rsidRPr="00D22784">
        <w:t xml:space="preserve"> </w:t>
      </w:r>
      <w:r w:rsidRPr="00756044">
        <w:t>The health and care workforce question should also be considered within the agenda of the European Health Union</w:t>
      </w:r>
      <w:r>
        <w:t xml:space="preserve">. </w:t>
      </w:r>
      <w:r w:rsidRPr="00D22784">
        <w:t xml:space="preserve">EPHA has called for the next European Commission to establish a Vice-President for public health, social </w:t>
      </w:r>
      <w:proofErr w:type="gramStart"/>
      <w:r w:rsidRPr="00D22784">
        <w:t>rights</w:t>
      </w:r>
      <w:proofErr w:type="gramEnd"/>
      <w:r w:rsidRPr="00D22784">
        <w:t xml:space="preserve"> and well</w:t>
      </w:r>
      <w:r w:rsidR="017C383C">
        <w:t>-</w:t>
      </w:r>
      <w:r w:rsidRPr="00D22784">
        <w:t>being (Box 3), that could take on this role, ensuring silos to be broken.</w:t>
      </w:r>
      <w:r>
        <w:t xml:space="preserve"> </w:t>
      </w:r>
    </w:p>
    <w:p w14:paraId="2C818F9D" w14:textId="4EFCC138" w:rsidR="0011658B" w:rsidRDefault="12704EF4" w:rsidP="00EA6F38">
      <w:pPr>
        <w:jc w:val="both"/>
      </w:pPr>
      <w:r w:rsidRPr="00756044">
        <w:t>Such cross-sectoral cooperation was implemented when facing the emergency of COVID-</w:t>
      </w:r>
      <w:r w:rsidR="00722AF1" w:rsidRPr="00756044">
        <w:t>19 and</w:t>
      </w:r>
      <w:r w:rsidRPr="00756044">
        <w:t xml:space="preserve"> should be strengthened and ensured on a more regular basis. This would require institutionalising the health</w:t>
      </w:r>
      <w:r w:rsidR="0E20A870">
        <w:t xml:space="preserve"> and </w:t>
      </w:r>
      <w:r w:rsidRPr="00756044">
        <w:t xml:space="preserve">care workforce question as </w:t>
      </w:r>
      <w:r>
        <w:t xml:space="preserve">an overarching </w:t>
      </w:r>
      <w:r w:rsidRPr="00756044">
        <w:t xml:space="preserve">issue, particularly </w:t>
      </w:r>
      <w:r>
        <w:t xml:space="preserve">regarding </w:t>
      </w:r>
      <w:r w:rsidRPr="00756044">
        <w:t xml:space="preserve">human capital </w:t>
      </w:r>
      <w:r>
        <w:t>and skills</w:t>
      </w:r>
      <w:r w:rsidRPr="00756044">
        <w:t xml:space="preserve">, and include it in planning and decision making in the relevant </w:t>
      </w:r>
      <w:r>
        <w:t>policy areas (i.e., education, employment).</w:t>
      </w:r>
      <w:r w:rsidR="003D7318" w:rsidRPr="00756044">
        <w:rPr>
          <w:rStyle w:val="FootnoteReference"/>
        </w:rPr>
        <w:footnoteReference w:id="70"/>
      </w:r>
      <w:r>
        <w:t xml:space="preserve"> </w:t>
      </w:r>
      <w:r w:rsidRPr="00756044">
        <w:t xml:space="preserve">Such cooperation would require the development and the strengthening of intersectoral mechanisms, for instance, intersectoral committees, working groups and commissions. </w:t>
      </w:r>
      <w:r>
        <w:t xml:space="preserve">This could also be steered by the potential Vice-President of the European Commission on health, social </w:t>
      </w:r>
      <w:proofErr w:type="gramStart"/>
      <w:r>
        <w:t>rights</w:t>
      </w:r>
      <w:proofErr w:type="gramEnd"/>
      <w:r>
        <w:t xml:space="preserve"> and well</w:t>
      </w:r>
      <w:r w:rsidR="017C383C">
        <w:t>-</w:t>
      </w:r>
      <w:r>
        <w:t xml:space="preserve">being. </w:t>
      </w:r>
      <w:r w:rsidRPr="00756044">
        <w:t>These processes should also engage a wide range of stakeholders, including civil society and health and care professionals.</w:t>
      </w:r>
      <w:r w:rsidR="003D7318" w:rsidRPr="00756044">
        <w:rPr>
          <w:rStyle w:val="FootnoteReference"/>
        </w:rPr>
        <w:footnoteReference w:id="71"/>
      </w:r>
      <w:r>
        <w:t xml:space="preserve"> </w:t>
      </w:r>
    </w:p>
    <w:p w14:paraId="43866DDD" w14:textId="77777777" w:rsidR="001B277D" w:rsidRDefault="001B277D" w:rsidP="00EA6F38">
      <w:pPr>
        <w:jc w:val="both"/>
      </w:pPr>
      <w:r>
        <w:t xml:space="preserve">More specifically, improved data collection to support stronger policies is required. </w:t>
      </w:r>
      <w:r w:rsidRPr="00756044">
        <w:t>There are great differences and fragmentation of data across EU countries. Improved and reliable data collection would enable the development of policies supporting the health workforce, as well as develop the long-term forecasting and planning needed, as mentioned above. Indeed, this would help provide information on the needs of health systems. This would support the development of evidence-based health and care workforce development strategies and investment plans.</w:t>
      </w:r>
      <w:r w:rsidRPr="00756044">
        <w:rPr>
          <w:rStyle w:val="FootnoteReference"/>
        </w:rPr>
        <w:footnoteReference w:id="72"/>
      </w:r>
    </w:p>
    <w:p w14:paraId="50458F2A" w14:textId="19C4BC96" w:rsidR="0029149F" w:rsidRPr="0029149F" w:rsidRDefault="001B277D" w:rsidP="00EA6F38">
      <w:pPr>
        <w:jc w:val="both"/>
      </w:pPr>
      <w:r w:rsidRPr="00756044">
        <w:t>Overall, implementing the necessary policies and governance mechanisms also requires strong and ambitious funding policies</w:t>
      </w:r>
      <w:r>
        <w:t xml:space="preserve"> and investments.</w:t>
      </w:r>
      <w:r w:rsidRPr="00756044">
        <w:rPr>
          <w:rStyle w:val="FootnoteReference"/>
        </w:rPr>
        <w:footnoteReference w:id="73"/>
      </w:r>
    </w:p>
    <w:p w14:paraId="7F18EB8A" w14:textId="7C7E8FB3" w:rsidR="00D753CE" w:rsidRPr="00756044" w:rsidRDefault="00D753CE" w:rsidP="00EA6F38">
      <w:pPr>
        <w:pStyle w:val="Heading3"/>
        <w:numPr>
          <w:ilvl w:val="2"/>
          <w:numId w:val="40"/>
        </w:numPr>
        <w:spacing w:before="120" w:after="120"/>
      </w:pPr>
      <w:bookmarkStart w:id="11" w:name="_Toc159502621"/>
      <w:r w:rsidRPr="00756044">
        <w:t xml:space="preserve">The need for </w:t>
      </w:r>
      <w:r w:rsidR="0021596C">
        <w:t xml:space="preserve">public </w:t>
      </w:r>
      <w:r w:rsidRPr="00756044">
        <w:t>investments</w:t>
      </w:r>
      <w:bookmarkEnd w:id="11"/>
    </w:p>
    <w:p w14:paraId="10F2CD3E" w14:textId="3B5B7D27" w:rsidR="0021596C" w:rsidRPr="00756044" w:rsidRDefault="0021596C" w:rsidP="00EA6F38">
      <w:pPr>
        <w:jc w:val="both"/>
      </w:pPr>
      <w:r w:rsidRPr="00756044">
        <w:t>As shown by the COVID-19</w:t>
      </w:r>
      <w:r>
        <w:t xml:space="preserve"> pandemic</w:t>
      </w:r>
      <w:r w:rsidRPr="00756044">
        <w:t xml:space="preserve">, the health and care systems are currently facing this </w:t>
      </w:r>
      <w:r>
        <w:t xml:space="preserve">crisis </w:t>
      </w:r>
      <w:r w:rsidRPr="00756044">
        <w:t xml:space="preserve">due to underfunding for the past decades. This needs to be acknowledged, </w:t>
      </w:r>
      <w:r>
        <w:t xml:space="preserve">while </w:t>
      </w:r>
      <w:r w:rsidR="56EC24C0">
        <w:t>t</w:t>
      </w:r>
      <w:r>
        <w:t>he</w:t>
      </w:r>
      <w:r w:rsidRPr="00756044">
        <w:t xml:space="preserve"> key role of the health and care sector</w:t>
      </w:r>
      <w:r>
        <w:t xml:space="preserve"> should be recognised. </w:t>
      </w:r>
    </w:p>
    <w:p w14:paraId="048E899C" w14:textId="37F6E845" w:rsidR="0021596C" w:rsidRDefault="5F2C5593" w:rsidP="00EA6F38">
      <w:pPr>
        <w:jc w:val="both"/>
      </w:pPr>
      <w:r w:rsidRPr="000F2B8C">
        <w:t>Alongside political will, funding is essential in implementing measures supporting the health and care workforce and reinforcing primary care. The evidence from the</w:t>
      </w:r>
      <w:r>
        <w:t xml:space="preserve"> COVID-19</w:t>
      </w:r>
      <w:r w:rsidRPr="000F2B8C">
        <w:t xml:space="preserve"> pandemic on the contribution of the health and care sector to the economy and </w:t>
      </w:r>
      <w:r w:rsidR="0021596C">
        <w:t>societal health and well-being</w:t>
      </w:r>
      <w:r w:rsidRPr="000F2B8C">
        <w:t xml:space="preserve"> needs to </w:t>
      </w:r>
      <w:r w:rsidR="00396F35" w:rsidRPr="000F2B8C">
        <w:t>be acknowledged</w:t>
      </w:r>
      <w:r w:rsidR="2CFA1CE3" w:rsidRPr="000F2B8C">
        <w:t xml:space="preserve"> and used as</w:t>
      </w:r>
      <w:r w:rsidRPr="000F2B8C">
        <w:t xml:space="preserve"> an argument </w:t>
      </w:r>
      <w:r w:rsidR="00E80290" w:rsidRPr="000F2B8C">
        <w:t>supporting the</w:t>
      </w:r>
      <w:r w:rsidRPr="000F2B8C">
        <w:t xml:space="preserve"> calls for investments and cross-sector</w:t>
      </w:r>
      <w:r>
        <w:t>al</w:t>
      </w:r>
      <w:r w:rsidRPr="000F2B8C">
        <w:t xml:space="preserve"> cooperation. The sector should </w:t>
      </w:r>
      <w:r w:rsidR="1649ECCF" w:rsidRPr="000F2B8C">
        <w:t xml:space="preserve">also </w:t>
      </w:r>
      <w:r w:rsidRPr="000F2B8C">
        <w:t>be involved in the decision-making process regarding investments and budget allocation.</w:t>
      </w:r>
      <w:r w:rsidR="0021596C" w:rsidRPr="000F2B8C">
        <w:rPr>
          <w:rStyle w:val="FootnoteReference"/>
        </w:rPr>
        <w:footnoteReference w:id="74"/>
      </w:r>
    </w:p>
    <w:p w14:paraId="0BA6806A" w14:textId="2D6E891B" w:rsidR="00187BAF" w:rsidRDefault="00187BAF" w:rsidP="00EA6F38">
      <w:pPr>
        <w:pStyle w:val="Caption"/>
        <w:keepNext/>
        <w:spacing w:before="120" w:after="120"/>
        <w:jc w:val="center"/>
      </w:pPr>
      <w:r>
        <w:t xml:space="preserve">Box </w:t>
      </w:r>
      <w:r>
        <w:fldChar w:fldCharType="begin"/>
      </w:r>
      <w:r>
        <w:instrText xml:space="preserve"> SEQ Box \* ARABIC </w:instrText>
      </w:r>
      <w:r>
        <w:fldChar w:fldCharType="separate"/>
      </w:r>
      <w:r>
        <w:rPr>
          <w:noProof/>
        </w:rPr>
        <w:t>2</w:t>
      </w:r>
      <w:r>
        <w:fldChar w:fldCharType="end"/>
      </w:r>
      <w:r>
        <w:t xml:space="preserve">. 10 Actions to strengthen the health and care </w:t>
      </w:r>
      <w:proofErr w:type="gramStart"/>
      <w:r>
        <w:t>workforce</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62"/>
      </w:tblGrid>
      <w:tr w:rsidR="00187BAF" w:rsidRPr="005B5802" w14:paraId="6BD6316C" w14:textId="77777777" w:rsidTr="2FB0C460">
        <w:tc>
          <w:tcPr>
            <w:tcW w:w="9062" w:type="dxa"/>
            <w:shd w:val="clear" w:color="auto" w:fill="D9E2F3" w:themeFill="accent1" w:themeFillTint="33"/>
          </w:tcPr>
          <w:p w14:paraId="0D9921FA" w14:textId="77777777" w:rsidR="00187BAF" w:rsidRPr="005B5802" w:rsidRDefault="6DEC2610" w:rsidP="00EA6F38">
            <w:pPr>
              <w:spacing w:before="0" w:after="40"/>
              <w:rPr>
                <w:b/>
                <w:sz w:val="20"/>
                <w:szCs w:val="20"/>
              </w:rPr>
            </w:pPr>
            <w:r w:rsidRPr="005B5802">
              <w:rPr>
                <w:b/>
                <w:bCs/>
                <w:sz w:val="20"/>
                <w:szCs w:val="20"/>
              </w:rPr>
              <w:t>10 actions to strengthen the health and care workforce (WHO report September 2022):</w:t>
            </w:r>
            <w:r w:rsidR="00187BAF" w:rsidRPr="005B5802">
              <w:rPr>
                <w:rStyle w:val="FootnoteReference"/>
                <w:b/>
                <w:bCs/>
                <w:sz w:val="20"/>
                <w:szCs w:val="20"/>
              </w:rPr>
              <w:footnoteReference w:id="75"/>
            </w:r>
          </w:p>
          <w:p w14:paraId="46B92187" w14:textId="77777777"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 xml:space="preserve">Align education with population needs and health service </w:t>
            </w:r>
            <w:proofErr w:type="gramStart"/>
            <w:r w:rsidRPr="005B5802">
              <w:rPr>
                <w:sz w:val="20"/>
                <w:szCs w:val="20"/>
              </w:rPr>
              <w:t>requirements</w:t>
            </w:r>
            <w:proofErr w:type="gramEnd"/>
            <w:r w:rsidRPr="005B5802">
              <w:rPr>
                <w:sz w:val="20"/>
                <w:szCs w:val="20"/>
              </w:rPr>
              <w:t xml:space="preserve"> </w:t>
            </w:r>
          </w:p>
          <w:p w14:paraId="47480A3D" w14:textId="77777777"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 xml:space="preserve">Strengthen continuing professional development to equip the workforce with new knowledge and </w:t>
            </w:r>
            <w:proofErr w:type="gramStart"/>
            <w:r w:rsidRPr="005B5802">
              <w:rPr>
                <w:sz w:val="20"/>
                <w:szCs w:val="20"/>
              </w:rPr>
              <w:t>competencies</w:t>
            </w:r>
            <w:proofErr w:type="gramEnd"/>
          </w:p>
          <w:p w14:paraId="31BDA9F7" w14:textId="77777777"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 xml:space="preserve">Expand the use of digital tools that support the </w:t>
            </w:r>
            <w:proofErr w:type="gramStart"/>
            <w:r w:rsidRPr="005B5802">
              <w:rPr>
                <w:sz w:val="20"/>
                <w:szCs w:val="20"/>
              </w:rPr>
              <w:t>workforce</w:t>
            </w:r>
            <w:proofErr w:type="gramEnd"/>
          </w:p>
          <w:p w14:paraId="542E4078" w14:textId="77777777"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 xml:space="preserve">Develop strategies that attract and retain health workers in rural and remote </w:t>
            </w:r>
            <w:proofErr w:type="gramStart"/>
            <w:r w:rsidRPr="005B5802">
              <w:rPr>
                <w:sz w:val="20"/>
                <w:szCs w:val="20"/>
              </w:rPr>
              <w:t>areas</w:t>
            </w:r>
            <w:proofErr w:type="gramEnd"/>
          </w:p>
          <w:p w14:paraId="0D6C3056" w14:textId="77777777"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 xml:space="preserve">Create working conditions that promote a healthy work-life </w:t>
            </w:r>
            <w:proofErr w:type="gramStart"/>
            <w:r w:rsidRPr="005B5802">
              <w:rPr>
                <w:sz w:val="20"/>
                <w:szCs w:val="20"/>
              </w:rPr>
              <w:t>balance</w:t>
            </w:r>
            <w:proofErr w:type="gramEnd"/>
          </w:p>
          <w:p w14:paraId="0A870692" w14:textId="23D8E86C"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Protect the health and mental well</w:t>
            </w:r>
            <w:r w:rsidR="00DF6953">
              <w:rPr>
                <w:sz w:val="20"/>
                <w:szCs w:val="20"/>
              </w:rPr>
              <w:t>-</w:t>
            </w:r>
            <w:r w:rsidRPr="005B5802">
              <w:rPr>
                <w:sz w:val="20"/>
                <w:szCs w:val="20"/>
              </w:rPr>
              <w:t xml:space="preserve">being of the </w:t>
            </w:r>
            <w:proofErr w:type="gramStart"/>
            <w:r w:rsidRPr="005B5802">
              <w:rPr>
                <w:sz w:val="20"/>
                <w:szCs w:val="20"/>
              </w:rPr>
              <w:t>workforce</w:t>
            </w:r>
            <w:proofErr w:type="gramEnd"/>
          </w:p>
          <w:p w14:paraId="7913D2C5" w14:textId="77777777"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 xml:space="preserve">Build leadership capacity for workforce governance and </w:t>
            </w:r>
            <w:proofErr w:type="gramStart"/>
            <w:r w:rsidRPr="005B5802">
              <w:rPr>
                <w:sz w:val="20"/>
                <w:szCs w:val="20"/>
              </w:rPr>
              <w:t>planning</w:t>
            </w:r>
            <w:proofErr w:type="gramEnd"/>
          </w:p>
          <w:p w14:paraId="0889D791" w14:textId="77777777"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 xml:space="preserve">Strengthen health information systems for better data collection and </w:t>
            </w:r>
            <w:proofErr w:type="gramStart"/>
            <w:r w:rsidRPr="005B5802">
              <w:rPr>
                <w:sz w:val="20"/>
                <w:szCs w:val="20"/>
              </w:rPr>
              <w:t>analysis</w:t>
            </w:r>
            <w:proofErr w:type="gramEnd"/>
          </w:p>
          <w:p w14:paraId="2B1F7CDD" w14:textId="77777777"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 xml:space="preserve">Increase public investment in workforce education, development and </w:t>
            </w:r>
            <w:proofErr w:type="gramStart"/>
            <w:r w:rsidRPr="005B5802">
              <w:rPr>
                <w:sz w:val="20"/>
                <w:szCs w:val="20"/>
              </w:rPr>
              <w:t>protection</w:t>
            </w:r>
            <w:proofErr w:type="gramEnd"/>
          </w:p>
          <w:p w14:paraId="7206040C" w14:textId="316347AF" w:rsidR="00187BAF" w:rsidRPr="005B5802" w:rsidRDefault="00187BAF" w:rsidP="00EA6F38">
            <w:pPr>
              <w:pStyle w:val="ListParagraph"/>
              <w:numPr>
                <w:ilvl w:val="0"/>
                <w:numId w:val="25"/>
              </w:numPr>
              <w:spacing w:before="0" w:after="0"/>
              <w:contextualSpacing w:val="0"/>
              <w:rPr>
                <w:sz w:val="20"/>
                <w:szCs w:val="20"/>
              </w:rPr>
            </w:pPr>
            <w:r w:rsidRPr="005B5802">
              <w:rPr>
                <w:sz w:val="20"/>
                <w:szCs w:val="20"/>
              </w:rPr>
              <w:t>Optimi</w:t>
            </w:r>
            <w:r w:rsidR="009B72C3">
              <w:rPr>
                <w:sz w:val="20"/>
                <w:szCs w:val="20"/>
              </w:rPr>
              <w:t>s</w:t>
            </w:r>
            <w:r w:rsidRPr="005B5802">
              <w:rPr>
                <w:sz w:val="20"/>
                <w:szCs w:val="20"/>
              </w:rPr>
              <w:t>e the use of funds through innovative workforce policies</w:t>
            </w:r>
          </w:p>
        </w:tc>
      </w:tr>
    </w:tbl>
    <w:p w14:paraId="2B9224A6" w14:textId="02E68FEB" w:rsidR="00187BAF" w:rsidRPr="000F2B8C" w:rsidRDefault="59264057" w:rsidP="00EA6F38">
      <w:pPr>
        <w:jc w:val="both"/>
      </w:pPr>
      <w:r>
        <w:t xml:space="preserve">The EU should encourage the Member States to make the necessary investments to strengthen their health and care systems and workforce. </w:t>
      </w:r>
      <w:r w:rsidRPr="00756044">
        <w:t xml:space="preserve">The investments should focus on increasing the </w:t>
      </w:r>
      <w:r>
        <w:t>number</w:t>
      </w:r>
      <w:r w:rsidRPr="00756044">
        <w:t xml:space="preserve"> of health and care workforce (</w:t>
      </w:r>
      <w:r>
        <w:t>i.e.</w:t>
      </w:r>
      <w:r w:rsidR="2A1E16FE">
        <w:t>,</w:t>
      </w:r>
      <w:r>
        <w:t xml:space="preserve"> through </w:t>
      </w:r>
      <w:r w:rsidRPr="00756044">
        <w:t>education), support</w:t>
      </w:r>
      <w:r>
        <w:t>ing</w:t>
      </w:r>
      <w:r w:rsidRPr="00756044">
        <w:t xml:space="preserve"> the re-skilling of the workforce, and ensur</w:t>
      </w:r>
      <w:r>
        <w:t>ing staff</w:t>
      </w:r>
      <w:r w:rsidRPr="00756044">
        <w:t xml:space="preserve"> retention.</w:t>
      </w:r>
      <w:r w:rsidR="00AF296F" w:rsidRPr="000F2B8C">
        <w:rPr>
          <w:rStyle w:val="FootnoteReference"/>
        </w:rPr>
        <w:footnoteReference w:id="76"/>
      </w:r>
      <w:r>
        <w:t xml:space="preserve"> Indeed, i</w:t>
      </w:r>
      <w:r w:rsidRPr="000F2B8C">
        <w:t>nvestments in education, training and lifelong learning opportunities for the health and care workforce are needed. This includes investing in secondary education, education infrastructure, university level education, online learning, continuing professional development and lifelong learning.</w:t>
      </w:r>
      <w:r w:rsidR="00AF296F" w:rsidRPr="000F2B8C">
        <w:rPr>
          <w:rStyle w:val="FootnoteReference"/>
        </w:rPr>
        <w:footnoteReference w:id="77"/>
      </w:r>
      <w:r>
        <w:t xml:space="preserve"> </w:t>
      </w:r>
      <w:r w:rsidRPr="000F2B8C">
        <w:t xml:space="preserve">Investments should be made in </w:t>
      </w:r>
      <w:r>
        <w:t xml:space="preserve">improving working conditions, </w:t>
      </w:r>
      <w:r w:rsidRPr="000F2B8C">
        <w:t>t</w:t>
      </w:r>
      <w:r>
        <w:t xml:space="preserve">o </w:t>
      </w:r>
      <w:r w:rsidRPr="000F2B8C">
        <w:t xml:space="preserve">support </w:t>
      </w:r>
      <w:r>
        <w:t>better the health and care</w:t>
      </w:r>
      <w:r w:rsidRPr="000F2B8C">
        <w:t xml:space="preserve"> workers,</w:t>
      </w:r>
      <w:r w:rsidRPr="000F2B8C" w:rsidDel="00506B32">
        <w:t xml:space="preserve"> </w:t>
      </w:r>
      <w:r>
        <w:t>and</w:t>
      </w:r>
      <w:r w:rsidRPr="001A5167">
        <w:t xml:space="preserve"> </w:t>
      </w:r>
      <w:r w:rsidRPr="000F2B8C">
        <w:t>to strengthen workforce retention.</w:t>
      </w:r>
      <w:r>
        <w:t xml:space="preserve"> Finally, i</w:t>
      </w:r>
      <w:r w:rsidRPr="000F2B8C">
        <w:t xml:space="preserve">nvestments are needed in the Member States to strengthen data collection on the health and care workforce in terms of analytical capacity, </w:t>
      </w:r>
      <w:r w:rsidR="402AB420" w:rsidRPr="000F2B8C">
        <w:t xml:space="preserve">and </w:t>
      </w:r>
      <w:r w:rsidR="70649F40" w:rsidRPr="000F2B8C">
        <w:t xml:space="preserve">with </w:t>
      </w:r>
      <w:r w:rsidRPr="000F2B8C">
        <w:t>the establishment of national registries.</w:t>
      </w:r>
      <w:r w:rsidR="00AF296F" w:rsidRPr="000F2B8C">
        <w:rPr>
          <w:rStyle w:val="FootnoteReference"/>
        </w:rPr>
        <w:footnoteReference w:id="78"/>
      </w:r>
    </w:p>
    <w:p w14:paraId="049FD35E" w14:textId="53594853" w:rsidR="00B34566" w:rsidRPr="000F2B8C" w:rsidRDefault="00762E7B" w:rsidP="00B34566">
      <w:pPr>
        <w:pStyle w:val="Heading2"/>
        <w:numPr>
          <w:ilvl w:val="1"/>
          <w:numId w:val="40"/>
        </w:numPr>
      </w:pPr>
      <w:bookmarkStart w:id="12" w:name="_Toc159502622"/>
      <w:r w:rsidRPr="000F2B8C">
        <w:t xml:space="preserve">Reinforcing primary </w:t>
      </w:r>
      <w:r w:rsidR="00150F27" w:rsidRPr="000F2B8C">
        <w:t>care</w:t>
      </w:r>
      <w:bookmarkEnd w:id="12"/>
    </w:p>
    <w:p w14:paraId="44272143" w14:textId="5782654B" w:rsidR="00A136FC" w:rsidRDefault="62F815D1" w:rsidP="00E2293E">
      <w:pPr>
        <w:jc w:val="both"/>
      </w:pPr>
      <w:r w:rsidRPr="792FB4BB">
        <w:rPr>
          <w:rFonts w:eastAsiaTheme="minorEastAsia"/>
        </w:rPr>
        <w:t>C</w:t>
      </w:r>
      <w:r w:rsidR="654A4EE7" w:rsidRPr="792FB4BB">
        <w:rPr>
          <w:rFonts w:eastAsiaTheme="minorEastAsia"/>
        </w:rPr>
        <w:t>onsidering</w:t>
      </w:r>
      <w:r w:rsidR="5BEFEC7C" w:rsidRPr="792FB4BB">
        <w:rPr>
          <w:rFonts w:eastAsiaTheme="minorEastAsia"/>
        </w:rPr>
        <w:t xml:space="preserve"> the demographic and epidemiological forecast</w:t>
      </w:r>
      <w:r w:rsidR="000B3E01" w:rsidRPr="792FB4BB">
        <w:rPr>
          <w:rFonts w:eastAsiaTheme="minorEastAsia"/>
        </w:rPr>
        <w:t>s</w:t>
      </w:r>
      <w:r w:rsidR="5BEFEC7C" w:rsidRPr="792FB4BB">
        <w:rPr>
          <w:rFonts w:eastAsiaTheme="minorEastAsia"/>
        </w:rPr>
        <w:t xml:space="preserve"> for the coming years, </w:t>
      </w:r>
      <w:r w:rsidR="509EEB5B" w:rsidRPr="792FB4BB">
        <w:rPr>
          <w:rFonts w:eastAsiaTheme="minorEastAsia"/>
        </w:rPr>
        <w:t xml:space="preserve">and the current shortcomings of healthcare systems, </w:t>
      </w:r>
      <w:r w:rsidR="5BEFEC7C" w:rsidRPr="792FB4BB">
        <w:rPr>
          <w:rFonts w:eastAsiaTheme="minorEastAsia"/>
        </w:rPr>
        <w:t>strengthening primary care will prove to be crucial</w:t>
      </w:r>
      <w:r w:rsidR="5ABE12EC" w:rsidRPr="792FB4BB">
        <w:rPr>
          <w:rFonts w:eastAsiaTheme="minorEastAsia"/>
        </w:rPr>
        <w:t xml:space="preserve"> to respond to </w:t>
      </w:r>
      <w:r w:rsidR="1627BD78" w:rsidRPr="792FB4BB">
        <w:rPr>
          <w:rFonts w:eastAsiaTheme="minorEastAsia"/>
        </w:rPr>
        <w:t xml:space="preserve">upcoming </w:t>
      </w:r>
      <w:r w:rsidR="5ABE12EC" w:rsidRPr="792FB4BB">
        <w:rPr>
          <w:rFonts w:eastAsiaTheme="minorEastAsia"/>
        </w:rPr>
        <w:t>challenges</w:t>
      </w:r>
      <w:r w:rsidR="5BEFEC7C" w:rsidRPr="792FB4BB">
        <w:rPr>
          <w:rFonts w:eastAsiaTheme="minorEastAsia"/>
        </w:rPr>
        <w:t xml:space="preserve">. </w:t>
      </w:r>
      <w:r w:rsidR="196D7C26" w:rsidRPr="792FB4BB">
        <w:rPr>
          <w:rFonts w:eastAsiaTheme="minorEastAsia"/>
        </w:rPr>
        <w:t>Indeed</w:t>
      </w:r>
      <w:r w:rsidR="1E653049" w:rsidRPr="792FB4BB">
        <w:rPr>
          <w:rFonts w:eastAsiaTheme="minorEastAsia"/>
        </w:rPr>
        <w:t>, d</w:t>
      </w:r>
      <w:r w:rsidR="43FA0D5C" w:rsidRPr="792FB4BB">
        <w:rPr>
          <w:rFonts w:eastAsiaTheme="minorEastAsia"/>
        </w:rPr>
        <w:t xml:space="preserve">eveloping primary care and integrated care models </w:t>
      </w:r>
      <w:r w:rsidR="72E702D2" w:rsidRPr="792FB4BB">
        <w:rPr>
          <w:rFonts w:eastAsiaTheme="minorEastAsia"/>
        </w:rPr>
        <w:t>allow for a more efficient use of</w:t>
      </w:r>
      <w:r w:rsidR="43FA0D5C" w:rsidRPr="792FB4BB">
        <w:rPr>
          <w:rFonts w:eastAsiaTheme="minorEastAsia"/>
        </w:rPr>
        <w:t xml:space="preserve"> </w:t>
      </w:r>
      <w:r w:rsidR="29426CB2" w:rsidRPr="792FB4BB">
        <w:rPr>
          <w:rFonts w:eastAsiaTheme="minorEastAsia"/>
        </w:rPr>
        <w:t>the health</w:t>
      </w:r>
      <w:r w:rsidR="05F71CAF" w:rsidRPr="792FB4BB">
        <w:rPr>
          <w:rFonts w:eastAsiaTheme="minorEastAsia"/>
        </w:rPr>
        <w:t xml:space="preserve"> and </w:t>
      </w:r>
      <w:r w:rsidR="29426CB2" w:rsidRPr="792FB4BB">
        <w:rPr>
          <w:rFonts w:eastAsiaTheme="minorEastAsia"/>
        </w:rPr>
        <w:t xml:space="preserve">care </w:t>
      </w:r>
      <w:r w:rsidR="43FA0D5C" w:rsidRPr="792FB4BB">
        <w:rPr>
          <w:rFonts w:eastAsiaTheme="minorEastAsia"/>
        </w:rPr>
        <w:t>workforce.</w:t>
      </w:r>
      <w:r w:rsidR="6822ED0C" w:rsidRPr="792FB4BB">
        <w:rPr>
          <w:rStyle w:val="FootnoteReference"/>
          <w:rFonts w:eastAsiaTheme="minorEastAsia"/>
        </w:rPr>
        <w:footnoteReference w:id="79"/>
      </w:r>
      <w:r w:rsidR="0CBFF041">
        <w:t xml:space="preserve"> </w:t>
      </w:r>
      <w:r w:rsidR="4D342464">
        <w:t>While the importance of these models has been widely acknowledged</w:t>
      </w:r>
      <w:r w:rsidR="331E206D">
        <w:t xml:space="preserve">, currently many European countries are dealing with shortages of </w:t>
      </w:r>
      <w:r w:rsidR="5B58A8BA">
        <w:t xml:space="preserve">primary care professionals </w:t>
      </w:r>
      <w:r w:rsidR="7DB3512E">
        <w:t>and imbalances across geographical areas.</w:t>
      </w:r>
      <w:r w:rsidR="103BFB4C">
        <w:t xml:space="preserve"> </w:t>
      </w:r>
      <w:r w:rsidR="1DBB6593">
        <w:t>Thus, a</w:t>
      </w:r>
      <w:r w:rsidR="665C38BF">
        <w:t xml:space="preserve">ddressing </w:t>
      </w:r>
      <w:r w:rsidR="7738C9B8">
        <w:t>the</w:t>
      </w:r>
      <w:r w:rsidR="2C258949">
        <w:t>se</w:t>
      </w:r>
      <w:r w:rsidR="665C38BF">
        <w:t xml:space="preserve"> shortages</w:t>
      </w:r>
      <w:r w:rsidR="218668B8">
        <w:t xml:space="preserve"> </w:t>
      </w:r>
      <w:r w:rsidR="665C38BF">
        <w:t xml:space="preserve">and promoting the </w:t>
      </w:r>
      <w:r w:rsidR="49B78783">
        <w:t xml:space="preserve">primary care </w:t>
      </w:r>
      <w:r w:rsidR="665C38BF">
        <w:t xml:space="preserve">sector as an attractive working environment </w:t>
      </w:r>
      <w:r w:rsidR="378BB25A">
        <w:t>need to be part of the strategy.</w:t>
      </w:r>
    </w:p>
    <w:p w14:paraId="3920BB21" w14:textId="77777777" w:rsidR="00491E63" w:rsidRDefault="23F20F5C" w:rsidP="00E2293E">
      <w:pPr>
        <w:jc w:val="both"/>
      </w:pPr>
      <w:r>
        <w:t>Different avenue</w:t>
      </w:r>
      <w:r w:rsidR="0289DECB">
        <w:t>s</w:t>
      </w:r>
      <w:r>
        <w:t xml:space="preserve"> can be </w:t>
      </w:r>
      <w:r w:rsidR="1A015C57">
        <w:t xml:space="preserve">explored </w:t>
      </w:r>
      <w:r>
        <w:t xml:space="preserve">to </w:t>
      </w:r>
      <w:r w:rsidR="41EE98DC">
        <w:t>reinforce</w:t>
      </w:r>
      <w:r>
        <w:t xml:space="preserve"> primary care</w:t>
      </w:r>
      <w:r w:rsidR="4B008CC8">
        <w:t>.</w:t>
      </w:r>
      <w:r w:rsidR="7CFF0CCA">
        <w:t xml:space="preserve"> For instance, t</w:t>
      </w:r>
      <w:r w:rsidR="378BB25A">
        <w:t>he European Observatory on Health Systems and Policies has identified several avenues for increasing the attractiveness of primary care.</w:t>
      </w:r>
      <w:r w:rsidR="542F39C2" w:rsidRPr="31381112">
        <w:rPr>
          <w:rStyle w:val="FootnoteReference"/>
        </w:rPr>
        <w:footnoteReference w:id="80"/>
      </w:r>
      <w:r w:rsidR="378BB25A">
        <w:t xml:space="preserve"> </w:t>
      </w:r>
      <w:r w:rsidR="123E0289">
        <w:t xml:space="preserve">Starting from </w:t>
      </w:r>
      <w:r w:rsidR="6A6FFFF6">
        <w:t xml:space="preserve">education, </w:t>
      </w:r>
      <w:r w:rsidR="66085896">
        <w:t xml:space="preserve">it </w:t>
      </w:r>
      <w:r w:rsidR="7E3FF93F">
        <w:t>is</w:t>
      </w:r>
      <w:r w:rsidR="66085896">
        <w:t xml:space="preserve"> relevant to </w:t>
      </w:r>
      <w:r w:rsidR="04274C62">
        <w:t>expos</w:t>
      </w:r>
      <w:r w:rsidR="41F6493B">
        <w:t>e</w:t>
      </w:r>
      <w:r w:rsidR="04274C62">
        <w:t xml:space="preserve"> students to the primary care professions and develop recruitment and retention strategies</w:t>
      </w:r>
      <w:r w:rsidR="6D23FB0B">
        <w:t>, including for rural and remote areas</w:t>
      </w:r>
      <w:r w:rsidR="17EE4FBE">
        <w:t xml:space="preserve">. These </w:t>
      </w:r>
      <w:r w:rsidR="43C4C5CB">
        <w:t>comprise</w:t>
      </w:r>
      <w:r w:rsidR="04274C62">
        <w:t xml:space="preserve"> mentoring and adaptation of curricula, or scholarships in exchange </w:t>
      </w:r>
      <w:r w:rsidR="72CBC859">
        <w:t>for</w:t>
      </w:r>
      <w:r w:rsidR="04274C62">
        <w:t xml:space="preserve"> commitment to work in primary care and/or rural areas.</w:t>
      </w:r>
      <w:r w:rsidR="72852854">
        <w:t xml:space="preserve"> </w:t>
      </w:r>
      <w:r w:rsidR="1CEB6F97">
        <w:t xml:space="preserve">Moreover, </w:t>
      </w:r>
      <w:r w:rsidR="017C7FE2">
        <w:t>t</w:t>
      </w:r>
      <w:r w:rsidR="6E55682B">
        <w:t>o boost recruitment and retention in remote and rural areas</w:t>
      </w:r>
      <w:r w:rsidR="24E172CF">
        <w:t>,</w:t>
      </w:r>
      <w:r w:rsidR="53A7E5BA">
        <w:t xml:space="preserve"> the provision of experience in such </w:t>
      </w:r>
      <w:r w:rsidR="65DB9375">
        <w:t xml:space="preserve">locations </w:t>
      </w:r>
      <w:r w:rsidR="53A7E5BA">
        <w:t xml:space="preserve">during medical training, </w:t>
      </w:r>
      <w:r w:rsidR="4BE32EDD">
        <w:t xml:space="preserve">or </w:t>
      </w:r>
      <w:r w:rsidR="53A7E5BA">
        <w:t xml:space="preserve">financial incentives could be </w:t>
      </w:r>
      <w:r w:rsidR="3B924A66">
        <w:t>successful strategies</w:t>
      </w:r>
      <w:r w:rsidR="53A7E5BA">
        <w:t>.</w:t>
      </w:r>
    </w:p>
    <w:p w14:paraId="05686EBF" w14:textId="77777777" w:rsidR="00491E63" w:rsidRDefault="24686356" w:rsidP="00E2293E">
      <w:pPr>
        <w:jc w:val="both"/>
      </w:pPr>
      <w:r>
        <w:t>Furthermore,</w:t>
      </w:r>
      <w:r w:rsidR="3783E157">
        <w:t xml:space="preserve"> to boost </w:t>
      </w:r>
      <w:r w:rsidR="7C94506F">
        <w:t>the</w:t>
      </w:r>
      <w:r w:rsidR="3783E157">
        <w:t xml:space="preserve"> attractiveness of the sector,</w:t>
      </w:r>
      <w:r w:rsidR="7246085B">
        <w:t xml:space="preserve"> </w:t>
      </w:r>
      <w:r w:rsidR="2689F4FE">
        <w:t xml:space="preserve">an </w:t>
      </w:r>
      <w:r w:rsidR="7246085B">
        <w:t>i</w:t>
      </w:r>
      <w:r w:rsidR="378BB25A">
        <w:t>mprovement of the work environment, working conditions and work-life balance</w:t>
      </w:r>
      <w:r w:rsidR="7F93733E">
        <w:t xml:space="preserve"> is essential</w:t>
      </w:r>
      <w:r w:rsidR="378BB25A">
        <w:t>. The workforce needs better working conditions, fair remuneration, but also mental health support</w:t>
      </w:r>
      <w:r w:rsidR="77BCF4F3">
        <w:t xml:space="preserve"> and</w:t>
      </w:r>
      <w:r w:rsidR="098386F4">
        <w:t xml:space="preserve"> </w:t>
      </w:r>
      <w:r w:rsidR="378BB25A">
        <w:t>protection against violence.</w:t>
      </w:r>
      <w:r w:rsidR="542F39C2" w:rsidRPr="31381112">
        <w:rPr>
          <w:rStyle w:val="FootnoteReference"/>
        </w:rPr>
        <w:footnoteReference w:id="81"/>
      </w:r>
      <w:r w:rsidR="75ED9E0E">
        <w:t xml:space="preserve"> </w:t>
      </w:r>
      <w:r w:rsidR="19C472F4">
        <w:t xml:space="preserve">Policies allowing </w:t>
      </w:r>
      <w:r w:rsidR="04B68443">
        <w:t xml:space="preserve">for </w:t>
      </w:r>
      <w:r w:rsidR="19C472F4">
        <w:t xml:space="preserve">adaptation to the changing roles of the professions are </w:t>
      </w:r>
      <w:r w:rsidR="71326720">
        <w:t xml:space="preserve">also </w:t>
      </w:r>
      <w:r w:rsidR="5F1307D8">
        <w:t>required</w:t>
      </w:r>
      <w:r w:rsidR="0332C505">
        <w:t>,</w:t>
      </w:r>
      <w:r w:rsidR="19C472F4">
        <w:t xml:space="preserve"> through </w:t>
      </w:r>
      <w:r w:rsidR="2689F4FE">
        <w:t>lifelong learning opportunities</w:t>
      </w:r>
      <w:r w:rsidR="57CE0D5E">
        <w:t>,</w:t>
      </w:r>
      <w:r w:rsidR="5D953ED5">
        <w:t xml:space="preserve"> for instance</w:t>
      </w:r>
      <w:r w:rsidR="19C472F4">
        <w:t>.</w:t>
      </w:r>
    </w:p>
    <w:p w14:paraId="3091AE74" w14:textId="1CF1DAED" w:rsidR="31381112" w:rsidRDefault="45CA7931" w:rsidP="00E2293E">
      <w:pPr>
        <w:jc w:val="both"/>
      </w:pPr>
      <w:r>
        <w:t>Moreover</w:t>
      </w:r>
      <w:r w:rsidR="279F73DE">
        <w:t xml:space="preserve">, better health workforce planning is </w:t>
      </w:r>
      <w:r w:rsidR="31428DB9">
        <w:t>necessary</w:t>
      </w:r>
      <w:r w:rsidR="279F73DE">
        <w:t>, ensuring that “the right number of people with the right skills are at the right place at the right time to deliver the right services to those in need of them”.</w:t>
      </w:r>
      <w:r w:rsidR="1F90FECA" w:rsidRPr="37951108">
        <w:rPr>
          <w:rStyle w:val="FootnoteReference"/>
        </w:rPr>
        <w:footnoteReference w:id="82"/>
      </w:r>
      <w:r w:rsidR="03069ECD">
        <w:t xml:space="preserve"> Another avenue </w:t>
      </w:r>
      <w:r w:rsidR="106CB9CE">
        <w:t xml:space="preserve">of </w:t>
      </w:r>
      <w:r w:rsidR="03069ECD">
        <w:t xml:space="preserve">action worth considering is developing </w:t>
      </w:r>
      <w:r w:rsidR="378BB25A">
        <w:t>different primary care models, such as standalone clinics, or larger health centres. For instance, team-based approaches have been found to support the strengthening of primary care.</w:t>
      </w:r>
      <w:r w:rsidR="542F39C2" w:rsidRPr="31381112">
        <w:rPr>
          <w:rStyle w:val="FootnoteReference"/>
        </w:rPr>
        <w:footnoteReference w:id="83"/>
      </w:r>
    </w:p>
    <w:p w14:paraId="11B76403" w14:textId="77777777" w:rsidR="00A478AE" w:rsidRDefault="7933ECD0" w:rsidP="00E2293E">
      <w:pPr>
        <w:jc w:val="both"/>
      </w:pPr>
      <w:r w:rsidRPr="2FB0C460">
        <w:rPr>
          <w:rFonts w:eastAsiaTheme="minorEastAsia"/>
        </w:rPr>
        <w:t xml:space="preserve">European policymakers have already </w:t>
      </w:r>
      <w:r w:rsidR="002C5D5C">
        <w:rPr>
          <w:rFonts w:eastAsiaTheme="minorEastAsia"/>
        </w:rPr>
        <w:t>approached</w:t>
      </w:r>
      <w:r w:rsidR="4080C3BE" w:rsidRPr="2FB0C460">
        <w:rPr>
          <w:rFonts w:eastAsiaTheme="minorEastAsia"/>
        </w:rPr>
        <w:t xml:space="preserve"> </w:t>
      </w:r>
      <w:r w:rsidRPr="2FB0C460">
        <w:rPr>
          <w:rFonts w:eastAsiaTheme="minorEastAsia"/>
        </w:rPr>
        <w:t>th</w:t>
      </w:r>
      <w:r w:rsidR="6E1FD24C" w:rsidRPr="2FB0C460">
        <w:rPr>
          <w:rFonts w:eastAsiaTheme="minorEastAsia"/>
        </w:rPr>
        <w:t>e topic of care.</w:t>
      </w:r>
      <w:r w:rsidRPr="2FB0C460">
        <w:rPr>
          <w:rFonts w:eastAsiaTheme="minorEastAsia"/>
        </w:rPr>
        <w:t xml:space="preserve"> </w:t>
      </w:r>
      <w:r w:rsidR="1A4EFDE2" w:rsidRPr="2FB0C460">
        <w:rPr>
          <w:rFonts w:eastAsiaTheme="minorEastAsia"/>
        </w:rPr>
        <w:t>The</w:t>
      </w:r>
      <w:r w:rsidR="2CEA46F7" w:rsidRPr="2FB0C460">
        <w:rPr>
          <w:rFonts w:eastAsiaTheme="minorEastAsia"/>
        </w:rPr>
        <w:t xml:space="preserve"> European Care Strategy</w:t>
      </w:r>
      <w:r w:rsidR="00FC0E09" w:rsidRPr="2FB0C460">
        <w:rPr>
          <w:rStyle w:val="FootnoteReference"/>
          <w:rFonts w:eastAsiaTheme="minorEastAsia"/>
        </w:rPr>
        <w:footnoteReference w:id="84"/>
      </w:r>
      <w:r w:rsidR="2CEA46F7" w:rsidRPr="2FB0C460">
        <w:rPr>
          <w:rFonts w:eastAsiaTheme="minorEastAsia"/>
        </w:rPr>
        <w:t xml:space="preserve"> provides a stepping stone towards improving Europe’s care services and the well-being of care providers </w:t>
      </w:r>
      <w:r w:rsidR="76731E87" w:rsidRPr="2FB0C460">
        <w:rPr>
          <w:rFonts w:eastAsiaTheme="minorEastAsia"/>
        </w:rPr>
        <w:t>which is r</w:t>
      </w:r>
      <w:r w:rsidR="3546B596" w:rsidRPr="2FB0C460">
        <w:rPr>
          <w:rFonts w:eastAsiaTheme="minorEastAsia"/>
        </w:rPr>
        <w:t xml:space="preserve">elevant </w:t>
      </w:r>
      <w:r w:rsidR="5C834868" w:rsidRPr="2FB0C460">
        <w:rPr>
          <w:rFonts w:eastAsiaTheme="minorEastAsia"/>
        </w:rPr>
        <w:t xml:space="preserve">for any policy approach to </w:t>
      </w:r>
      <w:r w:rsidR="3F034F20" w:rsidRPr="2FB0C460">
        <w:rPr>
          <w:rFonts w:eastAsiaTheme="minorEastAsia"/>
        </w:rPr>
        <w:t>strengthening the health</w:t>
      </w:r>
      <w:r w:rsidR="602BFED5" w:rsidRPr="2FB0C460">
        <w:rPr>
          <w:rFonts w:eastAsiaTheme="minorEastAsia"/>
        </w:rPr>
        <w:t xml:space="preserve"> and </w:t>
      </w:r>
      <w:r w:rsidR="3F034F20" w:rsidRPr="2FB0C460">
        <w:rPr>
          <w:rFonts w:eastAsiaTheme="minorEastAsia"/>
        </w:rPr>
        <w:t xml:space="preserve">care workforce. </w:t>
      </w:r>
      <w:r w:rsidR="2CEA46F7">
        <w:t xml:space="preserve">It aims </w:t>
      </w:r>
      <w:r w:rsidR="21247B28">
        <w:t>to</w:t>
      </w:r>
      <w:r w:rsidR="2CEA46F7">
        <w:t xml:space="preserve"> </w:t>
      </w:r>
      <w:r w:rsidR="21247B28">
        <w:t>improve</w:t>
      </w:r>
      <w:r w:rsidR="2CEA46F7">
        <w:t xml:space="preserve"> care services </w:t>
      </w:r>
      <w:r w:rsidR="09FA7B07">
        <w:t xml:space="preserve">by </w:t>
      </w:r>
      <w:r w:rsidR="2CEA46F7">
        <w:t xml:space="preserve">addressing availability, quality, </w:t>
      </w:r>
      <w:proofErr w:type="gramStart"/>
      <w:r w:rsidR="2CEA46F7">
        <w:t>affordability</w:t>
      </w:r>
      <w:proofErr w:type="gramEnd"/>
      <w:r w:rsidR="2CEA46F7">
        <w:t xml:space="preserve"> and accessibility of care services, with particular attention to rural and remote areas and regions</w:t>
      </w:r>
      <w:r w:rsidR="050A59BF">
        <w:t>.</w:t>
      </w:r>
      <w:r w:rsidR="21606E0E">
        <w:t xml:space="preserve"> L</w:t>
      </w:r>
      <w:r w:rsidR="466B3734">
        <w:t>everag</w:t>
      </w:r>
      <w:r w:rsidR="682C7BE4">
        <w:t>ing</w:t>
      </w:r>
      <w:r w:rsidR="2CEA46F7">
        <w:t xml:space="preserve"> EU funding instruments and strategies</w:t>
      </w:r>
      <w:r w:rsidR="612C09DE">
        <w:t>, it</w:t>
      </w:r>
      <w:r w:rsidR="2CEA46F7">
        <w:t xml:space="preserve"> </w:t>
      </w:r>
      <w:r w:rsidR="00566B8D">
        <w:t xml:space="preserve">seeks to </w:t>
      </w:r>
      <w:r w:rsidR="52D25DFA">
        <w:t>address</w:t>
      </w:r>
      <w:r w:rsidR="2CEA46F7">
        <w:t xml:space="preserve"> labour shortages in care by improving working conditions and wages</w:t>
      </w:r>
      <w:r w:rsidR="5639AC37">
        <w:t xml:space="preserve"> and</w:t>
      </w:r>
      <w:r w:rsidR="2CEA46F7">
        <w:t xml:space="preserve"> fostering social dialogue, </w:t>
      </w:r>
      <w:r w:rsidR="4CA770B0">
        <w:t xml:space="preserve">with a particular focus on the gender balance and </w:t>
      </w:r>
      <w:r w:rsidR="2EA6F01A">
        <w:t>conditions of migrant workers</w:t>
      </w:r>
      <w:r w:rsidR="050A59BF">
        <w:t>.</w:t>
      </w:r>
      <w:r w:rsidR="0C85DA9F">
        <w:t xml:space="preserve"> Furthermore, i</w:t>
      </w:r>
      <w:r w:rsidR="031F0B3A">
        <w:t>t</w:t>
      </w:r>
      <w:r w:rsidR="266B61FE">
        <w:t xml:space="preserve"> c</w:t>
      </w:r>
      <w:r w:rsidR="3A053FE0">
        <w:t xml:space="preserve">alls </w:t>
      </w:r>
      <w:r w:rsidR="00866BB4">
        <w:t xml:space="preserve">for </w:t>
      </w:r>
      <w:r w:rsidR="3A053FE0">
        <w:t>attention to the work-life balance and mental health of (informal) care workers</w:t>
      </w:r>
      <w:r w:rsidR="1E5997BF">
        <w:t xml:space="preserve"> </w:t>
      </w:r>
      <w:r w:rsidR="1E12B0A1">
        <w:t xml:space="preserve">through </w:t>
      </w:r>
      <w:r w:rsidR="5732E378">
        <w:t>support systems,</w:t>
      </w:r>
      <w:r w:rsidR="1E12B0A1">
        <w:t xml:space="preserve"> monitoring systems, </w:t>
      </w:r>
      <w:r w:rsidR="677B1CB2">
        <w:t>awareness raising</w:t>
      </w:r>
      <w:r w:rsidR="3B4D77F5">
        <w:t xml:space="preserve"> </w:t>
      </w:r>
      <w:r w:rsidR="006540BB">
        <w:t xml:space="preserve">measures </w:t>
      </w:r>
      <w:r w:rsidR="3B4D77F5">
        <w:t xml:space="preserve">and communication against </w:t>
      </w:r>
      <w:r w:rsidR="7D05B082">
        <w:t>gender stereotypes</w:t>
      </w:r>
      <w:r w:rsidR="050A59BF">
        <w:t>.</w:t>
      </w:r>
      <w:r w:rsidR="03F4E42C">
        <w:t xml:space="preserve"> Finally, i</w:t>
      </w:r>
      <w:r w:rsidR="031F0B3A">
        <w:t>t</w:t>
      </w:r>
      <w:r w:rsidR="266B61FE">
        <w:t xml:space="preserve"> e</w:t>
      </w:r>
      <w:r w:rsidR="5AC96B89">
        <w:t xml:space="preserve">ncourages Member States to </w:t>
      </w:r>
      <w:r w:rsidR="5B16C128">
        <w:t>create robust</w:t>
      </w:r>
      <w:r w:rsidR="738FD094">
        <w:t xml:space="preserve"> high-quality</w:t>
      </w:r>
      <w:r w:rsidR="5B16C128">
        <w:t xml:space="preserve"> </w:t>
      </w:r>
      <w:r w:rsidR="42D9501F">
        <w:t xml:space="preserve">and cost-effective </w:t>
      </w:r>
      <w:r w:rsidR="5B16C128">
        <w:t>care systems though sustainable financing</w:t>
      </w:r>
      <w:r w:rsidR="42D9501F">
        <w:t xml:space="preserve">, paired </w:t>
      </w:r>
      <w:r w:rsidR="050A59BF">
        <w:t>with a</w:t>
      </w:r>
      <w:r w:rsidR="08E87972">
        <w:t xml:space="preserve"> monitoring system </w:t>
      </w:r>
      <w:r w:rsidR="6D1B7AE1">
        <w:t>based on good data collection and indicator use</w:t>
      </w:r>
      <w:r w:rsidR="2E3B34F6">
        <w:t xml:space="preserve">, particularly on territorial inequalities and </w:t>
      </w:r>
      <w:r w:rsidR="5F2563C0">
        <w:t>rural areas</w:t>
      </w:r>
      <w:r w:rsidR="74313B15">
        <w:t>.</w:t>
      </w:r>
    </w:p>
    <w:p w14:paraId="6CD19F05" w14:textId="4E4394FC" w:rsidR="00FC0E09" w:rsidRPr="00A7228C" w:rsidRDefault="2CEA46F7" w:rsidP="00E2293E">
      <w:pPr>
        <w:jc w:val="both"/>
        <w:rPr>
          <w:rFonts w:eastAsiaTheme="minorEastAsia"/>
        </w:rPr>
      </w:pPr>
      <w:r w:rsidRPr="2FB0C460">
        <w:rPr>
          <w:rFonts w:eastAsiaTheme="minorEastAsia"/>
        </w:rPr>
        <w:t xml:space="preserve">The Strategy </w:t>
      </w:r>
      <w:r w:rsidR="00290C53">
        <w:rPr>
          <w:rFonts w:eastAsiaTheme="minorEastAsia"/>
        </w:rPr>
        <w:t>also relates to</w:t>
      </w:r>
      <w:r w:rsidRPr="2FB0C460">
        <w:rPr>
          <w:rFonts w:eastAsiaTheme="minorEastAsia"/>
        </w:rPr>
        <w:t xml:space="preserve"> two Council Recommendations</w:t>
      </w:r>
      <w:r w:rsidR="00652BE5">
        <w:rPr>
          <w:rFonts w:eastAsiaTheme="minorEastAsia"/>
        </w:rPr>
        <w:t>. First,</w:t>
      </w:r>
      <w:r w:rsidRPr="2FB0C460">
        <w:rPr>
          <w:rFonts w:eastAsiaTheme="minorEastAsia"/>
        </w:rPr>
        <w:t xml:space="preserve"> the Council Recommendation on early childhood education and care</w:t>
      </w:r>
      <w:r w:rsidR="00A2699F" w:rsidRPr="2FB0C460">
        <w:rPr>
          <w:rStyle w:val="FootnoteReference"/>
          <w:rFonts w:eastAsiaTheme="minorEastAsia"/>
        </w:rPr>
        <w:footnoteReference w:id="85"/>
      </w:r>
      <w:r w:rsidR="00652BE5">
        <w:rPr>
          <w:rFonts w:eastAsiaTheme="minorEastAsia"/>
        </w:rPr>
        <w:t xml:space="preserve">, which </w:t>
      </w:r>
      <w:r w:rsidR="0091431B">
        <w:rPr>
          <w:rFonts w:eastAsiaTheme="minorEastAsia"/>
        </w:rPr>
        <w:t xml:space="preserve">focuses on care </w:t>
      </w:r>
      <w:r w:rsidR="0091431B">
        <w:t xml:space="preserve">systems of good quality to address the cycle of inequality and disadvantage as early as possible, particularly for children in vulnerable situations. </w:t>
      </w:r>
      <w:r w:rsidR="0091431B">
        <w:rPr>
          <w:rFonts w:eastAsiaTheme="minorEastAsia"/>
        </w:rPr>
        <w:t>Then,</w:t>
      </w:r>
      <w:r w:rsidRPr="2FB0C460">
        <w:rPr>
          <w:rFonts w:eastAsiaTheme="minorEastAsia"/>
        </w:rPr>
        <w:t xml:space="preserve"> the Council Recommendation on affordable high-quality long-term care</w:t>
      </w:r>
      <w:r w:rsidR="00112F45" w:rsidRPr="2FB0C460">
        <w:rPr>
          <w:rStyle w:val="FootnoteReference"/>
          <w:rFonts w:eastAsiaTheme="minorEastAsia"/>
        </w:rPr>
        <w:footnoteReference w:id="86"/>
      </w:r>
      <w:r w:rsidR="0091431B">
        <w:rPr>
          <w:rFonts w:eastAsiaTheme="minorEastAsia"/>
        </w:rPr>
        <w:t xml:space="preserve"> </w:t>
      </w:r>
      <w:r w:rsidR="0091431B">
        <w:t>seeks</w:t>
      </w:r>
      <w:r>
        <w:t xml:space="preserve"> to guide investments and reforms for person-centred long-term care systems with improved working conditions, upskilling and reskilling opportunities, and recognition of the contributions and needs of in</w:t>
      </w:r>
      <w:r w:rsidRPr="2FB0C460">
        <w:rPr>
          <w:rFonts w:eastAsiaTheme="minorEastAsia"/>
        </w:rPr>
        <w:t>formal carers</w:t>
      </w:r>
      <w:r w:rsidR="050A59BF" w:rsidRPr="2FB0C460">
        <w:rPr>
          <w:rFonts w:eastAsiaTheme="minorEastAsia"/>
        </w:rPr>
        <w:t>.</w:t>
      </w:r>
      <w:r w:rsidR="3986D284" w:rsidRPr="2FB0C460">
        <w:rPr>
          <w:rFonts w:eastAsiaTheme="minorEastAsia"/>
        </w:rPr>
        <w:t xml:space="preserve"> While the European Care Strategy represents an initial framework for action to tackle the health</w:t>
      </w:r>
      <w:r w:rsidR="602BFED5" w:rsidRPr="2FB0C460">
        <w:rPr>
          <w:rFonts w:eastAsiaTheme="minorEastAsia"/>
        </w:rPr>
        <w:t xml:space="preserve"> and </w:t>
      </w:r>
      <w:r w:rsidR="3986D284" w:rsidRPr="2FB0C460">
        <w:rPr>
          <w:rFonts w:eastAsiaTheme="minorEastAsia"/>
        </w:rPr>
        <w:t xml:space="preserve">care workforce crisis and reinforce </w:t>
      </w:r>
      <w:r w:rsidR="19538908" w:rsidRPr="2FB0C460">
        <w:rPr>
          <w:rFonts w:eastAsiaTheme="minorEastAsia"/>
        </w:rPr>
        <w:t>primary care</w:t>
      </w:r>
      <w:r w:rsidR="3986D284" w:rsidRPr="2FB0C460">
        <w:rPr>
          <w:rFonts w:eastAsiaTheme="minorEastAsia"/>
        </w:rPr>
        <w:t>, further targeted action is needed.</w:t>
      </w:r>
    </w:p>
    <w:p w14:paraId="7B17FF89" w14:textId="77777777" w:rsidR="002A34BB" w:rsidRDefault="002A34BB" w:rsidP="00A478AE">
      <w:pPr>
        <w:rPr>
          <w:rFonts w:asciiTheme="majorHAnsi" w:eastAsiaTheme="majorEastAsia" w:hAnsiTheme="majorHAnsi" w:cstheme="majorBidi"/>
          <w:color w:val="2F5496" w:themeColor="accent1" w:themeShade="BF"/>
          <w:sz w:val="32"/>
          <w:szCs w:val="32"/>
        </w:rPr>
      </w:pPr>
      <w:r>
        <w:br w:type="page"/>
      </w:r>
    </w:p>
    <w:p w14:paraId="2C961F51" w14:textId="628DF5B5" w:rsidR="006E6E76" w:rsidRPr="000F2B8C" w:rsidRDefault="00C42F38" w:rsidP="009D3010">
      <w:pPr>
        <w:pStyle w:val="Heading1"/>
        <w:numPr>
          <w:ilvl w:val="0"/>
          <w:numId w:val="40"/>
        </w:numPr>
        <w:jc w:val="both"/>
      </w:pPr>
      <w:bookmarkStart w:id="13" w:name="_Toc159502623"/>
      <w:r w:rsidRPr="000F2B8C">
        <w:t>Recommendations from EPHA</w:t>
      </w:r>
      <w:r w:rsidR="00DB645A" w:rsidRPr="000F2B8C">
        <w:t xml:space="preserve"> and its members</w:t>
      </w:r>
      <w:bookmarkEnd w:id="13"/>
    </w:p>
    <w:p w14:paraId="61ECE05D" w14:textId="216962A0" w:rsidR="002E4896" w:rsidRPr="000F2B8C" w:rsidRDefault="004223C6" w:rsidP="00B50B5D">
      <w:pPr>
        <w:jc w:val="both"/>
      </w:pPr>
      <w:r w:rsidRPr="000F2B8C">
        <w:t xml:space="preserve">Ahead of the European elections, EPHA has published a manifesto highlighting public health priorities to be addressed during the next European Parliament’s mandate. </w:t>
      </w:r>
      <w:r w:rsidR="00B50B5D" w:rsidRPr="000F2B8C">
        <w:t>As one of the most pressing challenges of European health systems, the health</w:t>
      </w:r>
      <w:r w:rsidR="003933DA">
        <w:t xml:space="preserve"> and </w:t>
      </w:r>
      <w:r w:rsidR="00B50B5D" w:rsidRPr="000F2B8C">
        <w:t xml:space="preserve">care workforce situation was also developed in this document, with key recommendations (Box </w:t>
      </w:r>
      <w:r w:rsidR="007F4DFD">
        <w:t>3</w:t>
      </w:r>
      <w:r w:rsidR="00B50B5D" w:rsidRPr="000F2B8C">
        <w:t>).</w:t>
      </w:r>
    </w:p>
    <w:p w14:paraId="4B251775" w14:textId="137C2BF1" w:rsidR="00EE30D1" w:rsidRDefault="00EE30D1" w:rsidP="00EE30D1">
      <w:pPr>
        <w:pStyle w:val="Caption"/>
        <w:keepNext/>
        <w:jc w:val="center"/>
      </w:pPr>
      <w:r>
        <w:t xml:space="preserve">Box </w:t>
      </w:r>
      <w:r>
        <w:fldChar w:fldCharType="begin"/>
      </w:r>
      <w:r>
        <w:instrText xml:space="preserve"> SEQ Box \* ARABIC </w:instrText>
      </w:r>
      <w:r>
        <w:fldChar w:fldCharType="separate"/>
      </w:r>
      <w:r w:rsidR="0074035C">
        <w:rPr>
          <w:noProof/>
        </w:rPr>
        <w:t>3</w:t>
      </w:r>
      <w:r>
        <w:fldChar w:fldCharType="end"/>
      </w:r>
      <w:r>
        <w:t>. EPHA manifesto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062"/>
      </w:tblGrid>
      <w:tr w:rsidR="00B8401A" w:rsidRPr="005B5802" w14:paraId="29948D41" w14:textId="77777777" w:rsidTr="2FB0C460">
        <w:tc>
          <w:tcPr>
            <w:tcW w:w="9062" w:type="dxa"/>
            <w:shd w:val="clear" w:color="auto" w:fill="D9E2F3" w:themeFill="accent1" w:themeFillTint="33"/>
          </w:tcPr>
          <w:p w14:paraId="233FB1EC" w14:textId="02FCAF8E" w:rsidR="00B8401A" w:rsidRPr="005B5802" w:rsidRDefault="7F9A8334" w:rsidP="00667613">
            <w:pPr>
              <w:jc w:val="center"/>
              <w:rPr>
                <w:b/>
                <w:sz w:val="20"/>
                <w:szCs w:val="20"/>
              </w:rPr>
            </w:pPr>
            <w:r w:rsidRPr="005B5802">
              <w:rPr>
                <w:b/>
                <w:bCs/>
                <w:sz w:val="20"/>
                <w:szCs w:val="20"/>
              </w:rPr>
              <w:t>Recommendations from the EPHA manifesto</w:t>
            </w:r>
            <w:r w:rsidR="00D579B6" w:rsidRPr="005B5802">
              <w:rPr>
                <w:rStyle w:val="FootnoteReference"/>
                <w:b/>
                <w:bCs/>
                <w:sz w:val="20"/>
                <w:szCs w:val="20"/>
              </w:rPr>
              <w:footnoteReference w:id="87"/>
            </w:r>
          </w:p>
          <w:p w14:paraId="07C5E3E3" w14:textId="103395F6" w:rsidR="00F373D9" w:rsidRPr="005B5802" w:rsidRDefault="00F373D9" w:rsidP="002E4896">
            <w:pPr>
              <w:rPr>
                <w:sz w:val="20"/>
                <w:szCs w:val="20"/>
                <w:u w:val="single"/>
              </w:rPr>
            </w:pPr>
            <w:r w:rsidRPr="005B5802">
              <w:rPr>
                <w:sz w:val="20"/>
                <w:szCs w:val="20"/>
                <w:u w:val="single"/>
              </w:rPr>
              <w:t>Priority 2</w:t>
            </w:r>
            <w:r w:rsidR="00667613" w:rsidRPr="005B5802">
              <w:rPr>
                <w:sz w:val="20"/>
                <w:szCs w:val="20"/>
                <w:u w:val="single"/>
              </w:rPr>
              <w:t xml:space="preserve">- </w:t>
            </w:r>
            <w:r w:rsidRPr="005B5802">
              <w:rPr>
                <w:sz w:val="20"/>
                <w:szCs w:val="20"/>
                <w:u w:val="single"/>
              </w:rPr>
              <w:t>Providing the means for an ambitious EU health policy</w:t>
            </w:r>
            <w:r w:rsidR="00667613" w:rsidRPr="005B5802">
              <w:rPr>
                <w:sz w:val="20"/>
                <w:szCs w:val="20"/>
                <w:u w:val="single"/>
              </w:rPr>
              <w:t>:</w:t>
            </w:r>
          </w:p>
          <w:p w14:paraId="6ED544B6" w14:textId="5E75411E" w:rsidR="00F373D9" w:rsidRPr="005B5802" w:rsidRDefault="00667613" w:rsidP="00667613">
            <w:pPr>
              <w:jc w:val="both"/>
              <w:rPr>
                <w:i/>
                <w:sz w:val="20"/>
                <w:szCs w:val="20"/>
              </w:rPr>
            </w:pPr>
            <w:r w:rsidRPr="005B5802">
              <w:rPr>
                <w:i/>
                <w:sz w:val="20"/>
                <w:szCs w:val="20"/>
              </w:rPr>
              <w:t xml:space="preserve">Secure an ambitious budget for health. Delivering ambitious EU objectives at the EU and global levels requires that health be viewed as an investment rather than a cost. Investing in health systems and addressing health workforce shortages across the EU, and in parallel investing in disease prevention and health promotion policies, is the only way to secure social cohesion, equity, </w:t>
            </w:r>
            <w:proofErr w:type="gramStart"/>
            <w:r w:rsidRPr="005B5802">
              <w:rPr>
                <w:i/>
                <w:sz w:val="20"/>
                <w:szCs w:val="20"/>
              </w:rPr>
              <w:t>well</w:t>
            </w:r>
            <w:r w:rsidR="00DF6953">
              <w:rPr>
                <w:i/>
                <w:sz w:val="20"/>
                <w:szCs w:val="20"/>
              </w:rPr>
              <w:t>-</w:t>
            </w:r>
            <w:r w:rsidRPr="005B5802">
              <w:rPr>
                <w:i/>
                <w:sz w:val="20"/>
                <w:szCs w:val="20"/>
              </w:rPr>
              <w:t>being</w:t>
            </w:r>
            <w:proofErr w:type="gramEnd"/>
            <w:r w:rsidRPr="005B5802">
              <w:rPr>
                <w:i/>
                <w:sz w:val="20"/>
                <w:szCs w:val="20"/>
              </w:rPr>
              <w:t xml:space="preserve"> and productivity across the EU.</w:t>
            </w:r>
          </w:p>
          <w:p w14:paraId="0C573CA9" w14:textId="77777777" w:rsidR="00623BCB" w:rsidRPr="005B5802" w:rsidRDefault="00623BCB" w:rsidP="00667613">
            <w:pPr>
              <w:pStyle w:val="ListParagraph"/>
              <w:numPr>
                <w:ilvl w:val="0"/>
                <w:numId w:val="37"/>
              </w:numPr>
              <w:jc w:val="both"/>
              <w:rPr>
                <w:sz w:val="20"/>
                <w:szCs w:val="20"/>
              </w:rPr>
            </w:pPr>
            <w:r w:rsidRPr="005B5802">
              <w:rPr>
                <w:sz w:val="20"/>
                <w:szCs w:val="20"/>
              </w:rPr>
              <w:t>The pressing issue of health workforce shortages, as well as medical deserts, should be addressed. These issues should be a priority in the next EU Commission mandate.</w:t>
            </w:r>
          </w:p>
          <w:p w14:paraId="5580CC3C" w14:textId="77777777" w:rsidR="002D50A0" w:rsidRPr="005B5802" w:rsidRDefault="00623BCB" w:rsidP="00667613">
            <w:pPr>
              <w:pStyle w:val="ListParagraph"/>
              <w:numPr>
                <w:ilvl w:val="0"/>
                <w:numId w:val="37"/>
              </w:numPr>
              <w:jc w:val="both"/>
              <w:rPr>
                <w:sz w:val="20"/>
                <w:szCs w:val="20"/>
              </w:rPr>
            </w:pPr>
            <w:r w:rsidRPr="005B5802">
              <w:rPr>
                <w:sz w:val="20"/>
                <w:szCs w:val="20"/>
              </w:rPr>
              <w:t>Addressing health workforce shortages is essential in crisis preparedness and for strengthening European health systems in the long-term. This should include long-term planning, improving working conditions and support for health workers’ own physical and mental health.</w:t>
            </w:r>
          </w:p>
          <w:p w14:paraId="30744726" w14:textId="77777777" w:rsidR="002D50A0" w:rsidRPr="005B5802" w:rsidRDefault="00623BCB" w:rsidP="00667613">
            <w:pPr>
              <w:pStyle w:val="ListParagraph"/>
              <w:numPr>
                <w:ilvl w:val="0"/>
                <w:numId w:val="37"/>
              </w:numPr>
              <w:jc w:val="both"/>
              <w:rPr>
                <w:sz w:val="20"/>
                <w:szCs w:val="20"/>
              </w:rPr>
            </w:pPr>
            <w:r w:rsidRPr="005B5802">
              <w:rPr>
                <w:sz w:val="20"/>
                <w:szCs w:val="20"/>
              </w:rPr>
              <w:t>Investments should be made in education, training, and continuous professional development for health workers, to enable them to deliver better patient care. This would help keep existing health workers up to date with new knowledge, as well as prepare new recruits for likely challenges and trends (e.g., digitalisation, sustainability). Further information about existing European funding opportunities in these areas should be disseminated by the EU institutions.</w:t>
            </w:r>
          </w:p>
          <w:p w14:paraId="2382998C" w14:textId="77777777" w:rsidR="002D50A0" w:rsidRPr="005B5802" w:rsidRDefault="00623BCB" w:rsidP="00667613">
            <w:pPr>
              <w:pStyle w:val="ListParagraph"/>
              <w:numPr>
                <w:ilvl w:val="0"/>
                <w:numId w:val="37"/>
              </w:numPr>
              <w:jc w:val="both"/>
              <w:rPr>
                <w:sz w:val="20"/>
                <w:szCs w:val="20"/>
              </w:rPr>
            </w:pPr>
            <w:r w:rsidRPr="005B5802">
              <w:rPr>
                <w:sz w:val="20"/>
                <w:szCs w:val="20"/>
              </w:rPr>
              <w:t>Investments should be made for the health workforce, particularly to provide them with better salaries and working conditions. In addition, clear career pathways should be developed for different specialisations.</w:t>
            </w:r>
          </w:p>
          <w:p w14:paraId="087C74AC" w14:textId="644952FE" w:rsidR="005F3FC3" w:rsidRPr="005B5802" w:rsidRDefault="00623BCB" w:rsidP="00667613">
            <w:pPr>
              <w:pStyle w:val="ListParagraph"/>
              <w:numPr>
                <w:ilvl w:val="0"/>
                <w:numId w:val="37"/>
              </w:numPr>
              <w:jc w:val="both"/>
              <w:rPr>
                <w:sz w:val="20"/>
                <w:szCs w:val="20"/>
              </w:rPr>
            </w:pPr>
            <w:r w:rsidRPr="005B5802">
              <w:rPr>
                <w:sz w:val="20"/>
                <w:szCs w:val="20"/>
              </w:rPr>
              <w:t>Guidelines on the free movement of the health workforce should be provided. Enabling the health workforce to move between countries is essential to fill the gaps where there are more acute shortages of the workforce. However, these guidelines should be mindful that the mobility should not further create an imbalance at the European level and globally, between countries that mainly see health workers leave and countries that receive workers, thus further deepening the shortages in some areas. EU countries in particular recruit much of their workforce from non-EU countries. This should be addressed, including as part of the Global Health Strategy</w:t>
            </w:r>
            <w:r w:rsidR="002D50A0" w:rsidRPr="005B5802">
              <w:rPr>
                <w:sz w:val="20"/>
                <w:szCs w:val="20"/>
              </w:rPr>
              <w:t>.</w:t>
            </w:r>
          </w:p>
        </w:tc>
      </w:tr>
    </w:tbl>
    <w:p w14:paraId="7E1240A8" w14:textId="300D7B8E" w:rsidR="00B1196E" w:rsidRPr="000F2B8C" w:rsidRDefault="006E6E76" w:rsidP="009D3010">
      <w:pPr>
        <w:pStyle w:val="Heading2"/>
        <w:numPr>
          <w:ilvl w:val="1"/>
          <w:numId w:val="40"/>
        </w:numPr>
      </w:pPr>
      <w:bookmarkStart w:id="14" w:name="_Toc159502624"/>
      <w:r w:rsidRPr="000F2B8C">
        <w:t>Recommendations for EU policymakers</w:t>
      </w:r>
      <w:bookmarkEnd w:id="14"/>
    </w:p>
    <w:p w14:paraId="33F30481" w14:textId="3046DF87" w:rsidR="006E523D" w:rsidRPr="00AD2751" w:rsidRDefault="7F864B52" w:rsidP="00E2293E">
      <w:pPr>
        <w:pStyle w:val="ListParagraph"/>
        <w:numPr>
          <w:ilvl w:val="0"/>
          <w:numId w:val="8"/>
        </w:numPr>
        <w:ind w:left="714" w:hanging="357"/>
        <w:contextualSpacing w:val="0"/>
        <w:jc w:val="both"/>
      </w:pPr>
      <w:r>
        <w:t>Considering the challenges that the health</w:t>
      </w:r>
      <w:r w:rsidR="0E20A870">
        <w:t xml:space="preserve"> and </w:t>
      </w:r>
      <w:r>
        <w:t>care workforce is facing across Europe, we call on the European institutions to take the urgency of the situation in</w:t>
      </w:r>
      <w:r w:rsidR="11FAA8D3">
        <w:t>to</w:t>
      </w:r>
      <w:r>
        <w:t xml:space="preserve"> consideration and </w:t>
      </w:r>
      <w:r w:rsidR="1F64FE39">
        <w:t>swiftly act</w:t>
      </w:r>
      <w:r>
        <w:t xml:space="preserve"> by </w:t>
      </w:r>
      <w:r w:rsidR="764D4198">
        <w:t xml:space="preserve">triggering action at </w:t>
      </w:r>
      <w:r>
        <w:t>Member State</w:t>
      </w:r>
      <w:r w:rsidR="764D4198">
        <w:t xml:space="preserve"> level </w:t>
      </w:r>
      <w:r>
        <w:t>and allocating sufficient budget to prevent worsening health outcomes in the future. In addition to these health outcomes, long-term implications of not addressing these challenges will continue impacting well</w:t>
      </w:r>
      <w:r w:rsidR="017C383C">
        <w:t>-</w:t>
      </w:r>
      <w:r>
        <w:t>being and the economy of Member States. The development of a Health and Care Workforce Strategy could be a first step.</w:t>
      </w:r>
    </w:p>
    <w:p w14:paraId="0D00A63A" w14:textId="0DC20513" w:rsidR="006E523D" w:rsidRPr="00AE538D" w:rsidRDefault="7F864B52" w:rsidP="00E2293E">
      <w:pPr>
        <w:pStyle w:val="ListParagraph"/>
        <w:numPr>
          <w:ilvl w:val="0"/>
          <w:numId w:val="8"/>
        </w:numPr>
        <w:ind w:left="714" w:hanging="357"/>
        <w:contextualSpacing w:val="0"/>
        <w:jc w:val="both"/>
        <w:rPr>
          <w:rFonts w:eastAsiaTheme="minorEastAsia"/>
          <w:color w:val="0070C0"/>
        </w:rPr>
      </w:pPr>
      <w:r>
        <w:t>To put people and patients at the centre of care, achieve universal health coverage (UHC), and strengthen health systems, budgets and investments for health should be planned in a way that addresses the challenges of the health</w:t>
      </w:r>
      <w:r w:rsidR="0E20A870">
        <w:t xml:space="preserve"> and </w:t>
      </w:r>
      <w:r>
        <w:t xml:space="preserve">care workforce. Further research initiatives and projects should </w:t>
      </w:r>
      <w:r w:rsidR="43B7283E">
        <w:t xml:space="preserve">also </w:t>
      </w:r>
      <w:r>
        <w:t>be developed in that regard.</w:t>
      </w:r>
    </w:p>
    <w:p w14:paraId="6CF5BEFB" w14:textId="216167FC" w:rsidR="006E523D" w:rsidRPr="000658BE" w:rsidRDefault="006E523D" w:rsidP="00E2293E">
      <w:pPr>
        <w:pStyle w:val="ListParagraph"/>
        <w:numPr>
          <w:ilvl w:val="0"/>
          <w:numId w:val="8"/>
        </w:numPr>
        <w:ind w:left="714" w:hanging="357"/>
        <w:contextualSpacing w:val="0"/>
        <w:jc w:val="both"/>
        <w:rPr>
          <w:rFonts w:ascii="Helvetica Neue" w:eastAsia="Helvetica Neue" w:hAnsi="Helvetica Neue" w:cs="Helvetica Neue"/>
          <w:sz w:val="19"/>
          <w:szCs w:val="19"/>
        </w:rPr>
      </w:pPr>
      <w:r>
        <w:t>The EU should also encourage Member States to develop and implement more flexible mechanisms for cross-border healthcare and cooperation.</w:t>
      </w:r>
      <w:r w:rsidRPr="37951108">
        <w:rPr>
          <w:rFonts w:eastAsiaTheme="minorEastAsia"/>
        </w:rPr>
        <w:t xml:space="preserve"> </w:t>
      </w:r>
      <w:r w:rsidR="00902E3B">
        <w:rPr>
          <w:rFonts w:eastAsiaTheme="minorEastAsia"/>
        </w:rPr>
        <w:t>T</w:t>
      </w:r>
      <w:r w:rsidRPr="37951108">
        <w:rPr>
          <w:rFonts w:eastAsiaTheme="minorEastAsia"/>
        </w:rPr>
        <w:t>his could include the promotion of collaborative research, cross-border learning opportunities and sharing best practices. For instance, cross-border collaboration for specialist trainings could be extremely beneficial to smaller countries that cannot provide all specialist trainings.</w:t>
      </w:r>
      <w:r w:rsidRPr="0A709FE9">
        <w:rPr>
          <w:rStyle w:val="FootnoteReference"/>
          <w:rFonts w:ascii="Helvetica Neue" w:eastAsia="Helvetica Neue" w:hAnsi="Helvetica Neue" w:cs="Helvetica Neue"/>
          <w:sz w:val="19"/>
          <w:szCs w:val="19"/>
        </w:rPr>
        <w:footnoteReference w:id="88"/>
      </w:r>
    </w:p>
    <w:p w14:paraId="2AACA111" w14:textId="5AA09625" w:rsidR="006E523D" w:rsidRPr="00F52C49" w:rsidRDefault="006E523D" w:rsidP="00E2293E">
      <w:pPr>
        <w:pStyle w:val="ListParagraph"/>
        <w:numPr>
          <w:ilvl w:val="0"/>
          <w:numId w:val="8"/>
        </w:numPr>
        <w:ind w:left="714" w:hanging="357"/>
        <w:contextualSpacing w:val="0"/>
        <w:jc w:val="both"/>
        <w:rPr>
          <w:rFonts w:ascii="Helvetica Neue" w:eastAsia="Helvetica Neue" w:hAnsi="Helvetica Neue" w:cs="Helvetica Neue"/>
          <w:sz w:val="19"/>
          <w:szCs w:val="19"/>
        </w:rPr>
      </w:pPr>
      <w:r>
        <w:t>The EU should focus on policies on skills and training for the health</w:t>
      </w:r>
      <w:r w:rsidR="003933DA">
        <w:t xml:space="preserve"> and </w:t>
      </w:r>
      <w:r>
        <w:t xml:space="preserve">care workforce, to answer the current needs. </w:t>
      </w:r>
      <w:r w:rsidRPr="00D04682">
        <w:rPr>
          <w:rFonts w:eastAsiaTheme="minorEastAsia"/>
        </w:rPr>
        <w:t xml:space="preserve">EU-wide training schemes for lifelong learning </w:t>
      </w:r>
      <w:r w:rsidRPr="0A5E00D1">
        <w:rPr>
          <w:rFonts w:eastAsiaTheme="minorEastAsia"/>
        </w:rPr>
        <w:t>would ensure</w:t>
      </w:r>
      <w:r w:rsidRPr="00D04682">
        <w:rPr>
          <w:rFonts w:eastAsiaTheme="minorEastAsia"/>
        </w:rPr>
        <w:t xml:space="preserve"> that skill gaps in the health</w:t>
      </w:r>
      <w:r w:rsidR="003933DA">
        <w:rPr>
          <w:rFonts w:eastAsiaTheme="minorEastAsia"/>
        </w:rPr>
        <w:t xml:space="preserve"> and </w:t>
      </w:r>
      <w:r w:rsidRPr="00D04682">
        <w:rPr>
          <w:rFonts w:eastAsiaTheme="minorEastAsia"/>
        </w:rPr>
        <w:t>care workforce are addressed in a comparable and coordinated way across the Union.</w:t>
      </w:r>
      <w:r>
        <w:rPr>
          <w:rFonts w:eastAsiaTheme="minorEastAsia"/>
        </w:rPr>
        <w:t xml:space="preserve"> </w:t>
      </w:r>
    </w:p>
    <w:p w14:paraId="3407895B" w14:textId="06E07202" w:rsidR="009216B6" w:rsidRPr="00F52C49" w:rsidRDefault="1A9F72C0" w:rsidP="00E2293E">
      <w:pPr>
        <w:pStyle w:val="ListParagraph"/>
        <w:numPr>
          <w:ilvl w:val="0"/>
          <w:numId w:val="8"/>
        </w:numPr>
        <w:ind w:left="714" w:hanging="357"/>
        <w:contextualSpacing w:val="0"/>
        <w:jc w:val="both"/>
        <w:rPr>
          <w:rStyle w:val="FootnoteReference"/>
          <w:rFonts w:ascii="Helvetica Neue" w:eastAsia="Helvetica Neue" w:hAnsi="Helvetica Neue" w:cs="Helvetica Neue"/>
          <w:sz w:val="19"/>
          <w:szCs w:val="19"/>
          <w:vertAlign w:val="baseline"/>
        </w:rPr>
      </w:pPr>
      <w:r w:rsidRPr="792FB4BB">
        <w:rPr>
          <w:rFonts w:eastAsiaTheme="minorEastAsia"/>
        </w:rPr>
        <w:t xml:space="preserve">The EU legal framework regulating health professions and skills recognition should be critically examined </w:t>
      </w:r>
      <w:proofErr w:type="gramStart"/>
      <w:r w:rsidRPr="792FB4BB">
        <w:rPr>
          <w:rFonts w:eastAsiaTheme="minorEastAsia"/>
        </w:rPr>
        <w:t>in order to</w:t>
      </w:r>
      <w:proofErr w:type="gramEnd"/>
      <w:r w:rsidRPr="792FB4BB">
        <w:rPr>
          <w:rFonts w:eastAsiaTheme="minorEastAsia"/>
        </w:rPr>
        <w:t xml:space="preserve"> be equipped to adapt to the current challenges and needs for development of competencies</w:t>
      </w:r>
      <w:r w:rsidR="1283DAA5" w:rsidRPr="792FB4BB">
        <w:rPr>
          <w:rFonts w:eastAsiaTheme="minorEastAsia"/>
        </w:rPr>
        <w:t>.</w:t>
      </w:r>
      <w:r w:rsidR="2DAA86B6" w:rsidRPr="792FB4BB">
        <w:rPr>
          <w:rFonts w:eastAsiaTheme="minorEastAsia"/>
        </w:rPr>
        <w:t xml:space="preserve"> This could</w:t>
      </w:r>
      <w:r w:rsidRPr="792FB4BB">
        <w:rPr>
          <w:rFonts w:eastAsiaTheme="minorEastAsia"/>
        </w:rPr>
        <w:t xml:space="preserve"> </w:t>
      </w:r>
      <w:r w:rsidR="50D354C3" w:rsidRPr="792FB4BB">
        <w:rPr>
          <w:rFonts w:eastAsiaTheme="minorEastAsia"/>
        </w:rPr>
        <w:t xml:space="preserve">be accomplished, </w:t>
      </w:r>
      <w:r w:rsidRPr="792FB4BB">
        <w:rPr>
          <w:rFonts w:eastAsiaTheme="minorEastAsia"/>
        </w:rPr>
        <w:t>for instance</w:t>
      </w:r>
      <w:r w:rsidR="4E0053CC" w:rsidRPr="792FB4BB">
        <w:rPr>
          <w:rFonts w:eastAsiaTheme="minorEastAsia"/>
        </w:rPr>
        <w:t>,</w:t>
      </w:r>
      <w:r w:rsidRPr="792FB4BB">
        <w:rPr>
          <w:rFonts w:eastAsiaTheme="minorEastAsia"/>
        </w:rPr>
        <w:t xml:space="preserve"> through the Professional Qualifications Directive (PQD) and the setting of EU skills standards to better compare professional qualifications across the EU.</w:t>
      </w:r>
    </w:p>
    <w:p w14:paraId="202D3503" w14:textId="5A430E94" w:rsidR="009216B6" w:rsidRPr="008B7DA9" w:rsidRDefault="1A9F72C0" w:rsidP="00E2293E">
      <w:pPr>
        <w:pStyle w:val="ListParagraph"/>
        <w:numPr>
          <w:ilvl w:val="0"/>
          <w:numId w:val="8"/>
        </w:numPr>
        <w:ind w:left="714" w:hanging="357"/>
        <w:contextualSpacing w:val="0"/>
        <w:jc w:val="both"/>
      </w:pPr>
      <w:r>
        <w:t>As part of its labour mobility policies, the EU should be mindful of the current health</w:t>
      </w:r>
      <w:r w:rsidR="0E20A870">
        <w:t xml:space="preserve"> and </w:t>
      </w:r>
      <w:r>
        <w:t xml:space="preserve">care workforce shortages and </w:t>
      </w:r>
      <w:r w:rsidRPr="008B7DA9">
        <w:t>c</w:t>
      </w:r>
      <w:r w:rsidRPr="792FB4BB">
        <w:rPr>
          <w:rFonts w:eastAsiaTheme="minorEastAsia"/>
        </w:rPr>
        <w:t>reate a sustainable EU labour market for health</w:t>
      </w:r>
      <w:r w:rsidR="017C383C" w:rsidRPr="792FB4BB">
        <w:rPr>
          <w:rFonts w:eastAsiaTheme="minorEastAsia"/>
        </w:rPr>
        <w:t xml:space="preserve"> and </w:t>
      </w:r>
      <w:r w:rsidRPr="792FB4BB">
        <w:rPr>
          <w:rFonts w:eastAsiaTheme="minorEastAsia"/>
        </w:rPr>
        <w:t>care workers that is in line with health systems needs and goals. Guidelines and control mechanisms on the free movement of health</w:t>
      </w:r>
      <w:r w:rsidR="017C383C" w:rsidRPr="792FB4BB">
        <w:rPr>
          <w:rFonts w:eastAsiaTheme="minorEastAsia"/>
        </w:rPr>
        <w:t xml:space="preserve"> and </w:t>
      </w:r>
      <w:r w:rsidRPr="792FB4BB">
        <w:rPr>
          <w:rFonts w:eastAsiaTheme="minorEastAsia"/>
        </w:rPr>
        <w:t xml:space="preserve">care workers should be provided. Solutions could include: a European electronic health workforce register, national planning and forecasting efforts complemented by an EU mechanism, </w:t>
      </w:r>
      <w:r w:rsidR="44DFC530" w:rsidRPr="792FB4BB">
        <w:rPr>
          <w:rFonts w:eastAsiaTheme="minorEastAsia"/>
        </w:rPr>
        <w:t xml:space="preserve">and </w:t>
      </w:r>
      <w:r w:rsidRPr="792FB4BB">
        <w:rPr>
          <w:rFonts w:eastAsiaTheme="minorEastAsia"/>
        </w:rPr>
        <w:t>monitoring health workers from third countries, as highlighted by the European Observatory on Health Systems and Policies.</w:t>
      </w:r>
      <w:r w:rsidR="009216B6" w:rsidRPr="792FB4BB">
        <w:rPr>
          <w:rStyle w:val="FootnoteReference"/>
          <w:rFonts w:eastAsiaTheme="minorEastAsia"/>
        </w:rPr>
        <w:footnoteReference w:id="89"/>
      </w:r>
    </w:p>
    <w:p w14:paraId="43213E05" w14:textId="673C1832" w:rsidR="6337A46A" w:rsidRDefault="009216B6" w:rsidP="00E2293E">
      <w:pPr>
        <w:pStyle w:val="ListParagraph"/>
        <w:numPr>
          <w:ilvl w:val="0"/>
          <w:numId w:val="8"/>
        </w:numPr>
        <w:ind w:left="714" w:hanging="357"/>
        <w:contextualSpacing w:val="0"/>
        <w:jc w:val="both"/>
        <w:rPr>
          <w:rFonts w:eastAsiaTheme="minorEastAsia"/>
        </w:rPr>
      </w:pPr>
      <w:r>
        <w:t xml:space="preserve">As part of its policies on mental health, the EU should make a point of calling for more support </w:t>
      </w:r>
      <w:r w:rsidR="004A32F7">
        <w:t xml:space="preserve">mechanisms </w:t>
      </w:r>
      <w:r>
        <w:t>for the mental health of the health</w:t>
      </w:r>
      <w:r w:rsidR="003933DA">
        <w:t xml:space="preserve"> and </w:t>
      </w:r>
      <w:r>
        <w:t>care workforce.</w:t>
      </w:r>
    </w:p>
    <w:p w14:paraId="38356CE6" w14:textId="68DDF59E" w:rsidR="006E6E76" w:rsidRPr="000F2B8C" w:rsidRDefault="006E6E76" w:rsidP="009D3010">
      <w:pPr>
        <w:pStyle w:val="Heading2"/>
        <w:numPr>
          <w:ilvl w:val="1"/>
          <w:numId w:val="40"/>
        </w:numPr>
      </w:pPr>
      <w:bookmarkStart w:id="15" w:name="_Toc159502625"/>
      <w:r w:rsidRPr="000F2B8C">
        <w:t>Recommendations for national policymakers</w:t>
      </w:r>
      <w:bookmarkEnd w:id="15"/>
    </w:p>
    <w:p w14:paraId="4737B4CD" w14:textId="247D6B21" w:rsidR="00D247C6" w:rsidRDefault="40FDA35B" w:rsidP="00E2293E">
      <w:pPr>
        <w:pStyle w:val="ListParagraph"/>
        <w:numPr>
          <w:ilvl w:val="2"/>
          <w:numId w:val="46"/>
        </w:numPr>
        <w:ind w:left="714" w:hanging="357"/>
        <w:contextualSpacing w:val="0"/>
        <w:jc w:val="both"/>
      </w:pPr>
      <w:r>
        <w:t>We call on Member States to take the necessary measures to make the health</w:t>
      </w:r>
      <w:r w:rsidR="24C63884">
        <w:t xml:space="preserve"> and </w:t>
      </w:r>
      <w:r>
        <w:t>care professions more attractive. The health</w:t>
      </w:r>
      <w:r w:rsidR="504D2ECD">
        <w:t xml:space="preserve"> and </w:t>
      </w:r>
      <w:r>
        <w:t>care workforce needs more people to fill in the gaps between those leaving and those entering the profession. To ensure that more people join the workforce, the challenging working conditions need to be addressed and improved as a priority. Better pay, working and social conditions are needed, and support for mental health at the national level should be developed.</w:t>
      </w:r>
    </w:p>
    <w:p w14:paraId="3CD6B2C5" w14:textId="13055CA8" w:rsidR="00AA40F8" w:rsidRDefault="23A3F6CF" w:rsidP="00E2293E">
      <w:pPr>
        <w:pStyle w:val="ListParagraph"/>
        <w:numPr>
          <w:ilvl w:val="2"/>
          <w:numId w:val="46"/>
        </w:numPr>
        <w:jc w:val="both"/>
      </w:pPr>
      <w:r>
        <w:t xml:space="preserve">Equal working conditions and opportunities for women and men should be guaranteed in the health and care sector, especially in tackling the gender pay gap by collecting up-to-date data, monitoring it, and setting up policies to address it. </w:t>
      </w:r>
    </w:p>
    <w:p w14:paraId="305AAB19" w14:textId="605CA17F" w:rsidR="00D247C6" w:rsidRDefault="00D247C6" w:rsidP="00E2293E">
      <w:pPr>
        <w:numPr>
          <w:ilvl w:val="0"/>
          <w:numId w:val="7"/>
        </w:numPr>
        <w:ind w:left="714" w:hanging="357"/>
        <w:jc w:val="both"/>
      </w:pPr>
      <w:r w:rsidRPr="00C766DD">
        <w:t xml:space="preserve">At the local level, </w:t>
      </w:r>
      <w:r w:rsidRPr="000F2B8C">
        <w:t>measures and actions should also be taken, promoting the changing roles of the profession, making the profession more attractive, through measures from local authorities and universities.</w:t>
      </w:r>
    </w:p>
    <w:p w14:paraId="1F991B5D" w14:textId="732512AD" w:rsidR="7E720E6F" w:rsidRPr="00CD59D8" w:rsidRDefault="00D247C6" w:rsidP="00E2293E">
      <w:pPr>
        <w:pStyle w:val="ListParagraph"/>
        <w:numPr>
          <w:ilvl w:val="2"/>
          <w:numId w:val="46"/>
        </w:numPr>
        <w:ind w:left="714" w:hanging="357"/>
        <w:contextualSpacing w:val="0"/>
        <w:jc w:val="both"/>
        <w:rPr>
          <w:rFonts w:eastAsiaTheme="minorEastAsia"/>
        </w:rPr>
      </w:pPr>
      <w:r>
        <w:t xml:space="preserve">Member States should invest in education and training programmes. Better training is needed, through academic, professional training and mentoring. </w:t>
      </w:r>
    </w:p>
    <w:p w14:paraId="0DB84EA5" w14:textId="34AA13DF" w:rsidR="00CD59D8" w:rsidRPr="00CD59D8" w:rsidRDefault="7AD03002" w:rsidP="00E2293E">
      <w:pPr>
        <w:pStyle w:val="ListParagraph"/>
        <w:numPr>
          <w:ilvl w:val="0"/>
          <w:numId w:val="46"/>
        </w:numPr>
        <w:jc w:val="both"/>
        <w:rPr>
          <w:rFonts w:ascii="Calibri" w:eastAsia="Times New Roman" w:hAnsi="Calibri" w:cs="Calibri"/>
        </w:rPr>
      </w:pPr>
      <w:r w:rsidRPr="792FB4BB">
        <w:rPr>
          <w:rFonts w:ascii="Calibri" w:eastAsia="Times New Roman" w:hAnsi="Calibri" w:cs="Calibri"/>
        </w:rPr>
        <w:t xml:space="preserve">At the national level, </w:t>
      </w:r>
      <w:r w:rsidR="1110A2EE" w:rsidRPr="792FB4BB">
        <w:rPr>
          <w:rFonts w:ascii="Calibri" w:eastAsia="Times New Roman" w:hAnsi="Calibri" w:cs="Calibri"/>
        </w:rPr>
        <w:t>organi</w:t>
      </w:r>
      <w:r w:rsidR="0FA352FB" w:rsidRPr="792FB4BB">
        <w:rPr>
          <w:rFonts w:ascii="Calibri" w:eastAsia="Times New Roman" w:hAnsi="Calibri" w:cs="Calibri"/>
        </w:rPr>
        <w:t>s</w:t>
      </w:r>
      <w:r w:rsidR="1110A2EE" w:rsidRPr="792FB4BB">
        <w:rPr>
          <w:rFonts w:ascii="Calibri" w:eastAsia="Times New Roman" w:hAnsi="Calibri" w:cs="Calibri"/>
        </w:rPr>
        <w:t xml:space="preserve">ational cultures </w:t>
      </w:r>
      <w:r w:rsidR="0FA352FB" w:rsidRPr="792FB4BB">
        <w:rPr>
          <w:rFonts w:ascii="Calibri" w:eastAsia="Times New Roman" w:hAnsi="Calibri" w:cs="Calibri"/>
        </w:rPr>
        <w:t>should be re</w:t>
      </w:r>
      <w:r w:rsidR="3236CF09" w:rsidRPr="792FB4BB">
        <w:rPr>
          <w:rFonts w:ascii="Calibri" w:eastAsia="Times New Roman" w:hAnsi="Calibri" w:cs="Calibri"/>
        </w:rPr>
        <w:t>shaped</w:t>
      </w:r>
      <w:r w:rsidR="0FA352FB" w:rsidRPr="792FB4BB">
        <w:rPr>
          <w:rFonts w:ascii="Calibri" w:eastAsia="Times New Roman" w:hAnsi="Calibri" w:cs="Calibri"/>
        </w:rPr>
        <w:t xml:space="preserve"> and fostered </w:t>
      </w:r>
      <w:r w:rsidR="1110A2EE" w:rsidRPr="792FB4BB">
        <w:rPr>
          <w:rFonts w:ascii="Calibri" w:eastAsia="Times New Roman" w:hAnsi="Calibri" w:cs="Calibri"/>
        </w:rPr>
        <w:t>within health</w:t>
      </w:r>
      <w:r w:rsidR="0FA352FB" w:rsidRPr="792FB4BB">
        <w:rPr>
          <w:rFonts w:ascii="Calibri" w:eastAsia="Times New Roman" w:hAnsi="Calibri" w:cs="Calibri"/>
        </w:rPr>
        <w:t xml:space="preserve"> and </w:t>
      </w:r>
      <w:r w:rsidR="1110A2EE" w:rsidRPr="792FB4BB">
        <w:rPr>
          <w:rFonts w:ascii="Calibri" w:eastAsia="Times New Roman" w:hAnsi="Calibri" w:cs="Calibri"/>
        </w:rPr>
        <w:t>care systems and health</w:t>
      </w:r>
      <w:r w:rsidR="0FA352FB" w:rsidRPr="792FB4BB">
        <w:rPr>
          <w:rFonts w:ascii="Calibri" w:eastAsia="Times New Roman" w:hAnsi="Calibri" w:cs="Calibri"/>
        </w:rPr>
        <w:t xml:space="preserve"> and </w:t>
      </w:r>
      <w:r w:rsidR="1110A2EE" w:rsidRPr="792FB4BB">
        <w:rPr>
          <w:rFonts w:ascii="Calibri" w:eastAsia="Times New Roman" w:hAnsi="Calibri" w:cs="Calibri"/>
        </w:rPr>
        <w:t xml:space="preserve">care workplaces </w:t>
      </w:r>
      <w:r w:rsidR="410DAD70" w:rsidRPr="792FB4BB">
        <w:rPr>
          <w:rFonts w:ascii="Calibri" w:eastAsia="Times New Roman" w:hAnsi="Calibri" w:cs="Calibri"/>
        </w:rPr>
        <w:t>to counter the alienation of the</w:t>
      </w:r>
      <w:r w:rsidR="1110A2EE" w:rsidRPr="792FB4BB">
        <w:rPr>
          <w:rFonts w:ascii="Calibri" w:eastAsia="Times New Roman" w:hAnsi="Calibri" w:cs="Calibri"/>
        </w:rPr>
        <w:t xml:space="preserve"> workforce from these professions</w:t>
      </w:r>
      <w:r w:rsidR="16044940" w:rsidRPr="792FB4BB">
        <w:rPr>
          <w:rFonts w:ascii="Calibri" w:eastAsia="Times New Roman" w:hAnsi="Calibri" w:cs="Calibri"/>
        </w:rPr>
        <w:t>.</w:t>
      </w:r>
    </w:p>
    <w:p w14:paraId="3D62C98C" w14:textId="042DDD31" w:rsidR="000B0594" w:rsidRPr="000F2B8C" w:rsidRDefault="006E6E76" w:rsidP="009D3010">
      <w:pPr>
        <w:pStyle w:val="Heading2"/>
        <w:numPr>
          <w:ilvl w:val="1"/>
          <w:numId w:val="40"/>
        </w:numPr>
      </w:pPr>
      <w:bookmarkStart w:id="16" w:name="_Toc159502626"/>
      <w:r w:rsidRPr="000F2B8C">
        <w:t>Recommendations for other stakeholders</w:t>
      </w:r>
      <w:bookmarkEnd w:id="16"/>
    </w:p>
    <w:p w14:paraId="66AD052B" w14:textId="1BF855A1" w:rsidR="00CC6208" w:rsidRPr="000F2B8C" w:rsidRDefault="02D1B061" w:rsidP="792FB4BB">
      <w:pPr>
        <w:pStyle w:val="ListParagraph"/>
        <w:numPr>
          <w:ilvl w:val="0"/>
          <w:numId w:val="4"/>
        </w:numPr>
        <w:ind w:left="714" w:hanging="357"/>
        <w:contextualSpacing w:val="0"/>
        <w:jc w:val="both"/>
      </w:pPr>
      <w:r>
        <w:t>P</w:t>
      </w:r>
      <w:r w:rsidR="0FACC605">
        <w:t xml:space="preserve">rofessionals of the sector </w:t>
      </w:r>
      <w:r>
        <w:t>should</w:t>
      </w:r>
      <w:r w:rsidR="0FACC605">
        <w:t xml:space="preserve"> encourage interprofessional collaboration and exchange to tackle the challenges </w:t>
      </w:r>
      <w:r w:rsidR="13512B15">
        <w:t xml:space="preserve">faced by </w:t>
      </w:r>
      <w:r w:rsidR="0FACC605">
        <w:t>the health</w:t>
      </w:r>
      <w:r w:rsidR="0E20A870">
        <w:t xml:space="preserve"> and </w:t>
      </w:r>
      <w:r w:rsidR="0FACC605">
        <w:t>care workforce</w:t>
      </w:r>
      <w:r w:rsidR="2BDFE21F">
        <w:t>.</w:t>
      </w:r>
      <w:r w:rsidR="2253CB0B">
        <w:t xml:space="preserve"> </w:t>
      </w:r>
      <w:r w:rsidR="49922DAD">
        <w:t>C</w:t>
      </w:r>
      <w:r w:rsidR="2253CB0B">
        <w:t>ollaboration should</w:t>
      </w:r>
      <w:r w:rsidR="1DE370AC">
        <w:t xml:space="preserve"> </w:t>
      </w:r>
      <w:r w:rsidR="27047795">
        <w:t xml:space="preserve">also </w:t>
      </w:r>
      <w:r w:rsidR="1DE370AC">
        <w:t>includ</w:t>
      </w:r>
      <w:r w:rsidR="513D1287">
        <w:t>e</w:t>
      </w:r>
      <w:r w:rsidR="1DE370AC">
        <w:t xml:space="preserve"> students, to solve these issues in the long term. </w:t>
      </w:r>
    </w:p>
    <w:p w14:paraId="053D1515" w14:textId="50CCEB34" w:rsidR="00E80713" w:rsidRPr="000F2B8C" w:rsidRDefault="00455420" w:rsidP="009216B6">
      <w:pPr>
        <w:pStyle w:val="ListParagraph"/>
        <w:numPr>
          <w:ilvl w:val="0"/>
          <w:numId w:val="4"/>
        </w:numPr>
        <w:ind w:left="714" w:hanging="357"/>
        <w:contextualSpacing w:val="0"/>
        <w:jc w:val="both"/>
      </w:pPr>
      <w:r w:rsidRPr="000F2B8C">
        <w:t>Health</w:t>
      </w:r>
      <w:r w:rsidR="00DF6953">
        <w:t xml:space="preserve"> and </w:t>
      </w:r>
      <w:r w:rsidRPr="000F2B8C">
        <w:t xml:space="preserve">care professional associations should showcase the benefits of the profession to make it more attractive and cooperate with universities and schools on increasing the number of students joining the workforce. </w:t>
      </w:r>
      <w:r w:rsidR="00CC6208" w:rsidRPr="000F2B8C">
        <w:t xml:space="preserve"> </w:t>
      </w:r>
      <w:r w:rsidR="00E80713" w:rsidRPr="000F2B8C">
        <w:br w:type="page"/>
      </w:r>
    </w:p>
    <w:p w14:paraId="5C85AF37" w14:textId="46BCE811" w:rsidR="00CA6618" w:rsidRPr="000F2B8C" w:rsidRDefault="00CA6618" w:rsidP="009D3010">
      <w:pPr>
        <w:pStyle w:val="Heading1"/>
        <w:numPr>
          <w:ilvl w:val="0"/>
          <w:numId w:val="40"/>
        </w:numPr>
      </w:pPr>
      <w:bookmarkStart w:id="17" w:name="_Toc159502627"/>
      <w:r w:rsidRPr="000F2B8C">
        <w:t>Sources</w:t>
      </w:r>
      <w:bookmarkEnd w:id="17"/>
    </w:p>
    <w:p w14:paraId="5EFCC58C" w14:textId="7A736C30" w:rsidR="006535CE" w:rsidRPr="002B6E4E" w:rsidRDefault="4EFC341F" w:rsidP="009849C5">
      <w:pPr>
        <w:pStyle w:val="ListParagraph"/>
        <w:numPr>
          <w:ilvl w:val="0"/>
          <w:numId w:val="4"/>
        </w:numPr>
        <w:ind w:left="0"/>
        <w:jc w:val="both"/>
        <w:rPr>
          <w:rFonts w:eastAsiaTheme="majorEastAsia"/>
          <w:color w:val="2F5496" w:themeColor="accent1" w:themeShade="BF"/>
          <w:lang w:val="fr-BE"/>
        </w:rPr>
      </w:pPr>
      <w:r>
        <w:t>AHEAD Project</w:t>
      </w:r>
      <w:r w:rsidR="38BBBE66">
        <w:t xml:space="preserve"> (2023). “Call to action - </w:t>
      </w:r>
      <w:r w:rsidR="7BB7936B">
        <w:t xml:space="preserve">Let's go AHEAD and tackle medical deserts!”. </w:t>
      </w:r>
      <w:proofErr w:type="spellStart"/>
      <w:r w:rsidR="7BB7936B" w:rsidRPr="1F6F06D5">
        <w:rPr>
          <w:lang w:val="fr-BE"/>
        </w:rPr>
        <w:t>Available</w:t>
      </w:r>
      <w:proofErr w:type="spellEnd"/>
      <w:r w:rsidR="7BB7936B" w:rsidRPr="1F6F06D5">
        <w:rPr>
          <w:lang w:val="fr-BE"/>
        </w:rPr>
        <w:t xml:space="preserve"> </w:t>
      </w:r>
      <w:proofErr w:type="gramStart"/>
      <w:r w:rsidR="7BB7936B" w:rsidRPr="1F6F06D5">
        <w:rPr>
          <w:lang w:val="fr-BE"/>
        </w:rPr>
        <w:t>at</w:t>
      </w:r>
      <w:r w:rsidR="6DD87EB0" w:rsidRPr="1F6F06D5">
        <w:rPr>
          <w:lang w:val="fr-BE"/>
        </w:rPr>
        <w:t>:</w:t>
      </w:r>
      <w:proofErr w:type="gramEnd"/>
      <w:r w:rsidR="7BB7936B" w:rsidRPr="1F6F06D5">
        <w:rPr>
          <w:lang w:val="fr-BE"/>
        </w:rPr>
        <w:t> </w:t>
      </w:r>
      <w:hyperlink r:id="rId11">
        <w:r w:rsidR="5254084A" w:rsidRPr="1F6F06D5">
          <w:rPr>
            <w:rStyle w:val="Hyperlink"/>
            <w:lang w:val="fr-BE"/>
          </w:rPr>
          <w:t>https://ahead.health/wp-content/uploads/2023/07/AHEAD_Call-to-Action_Lets-go-AHEAD-and-tackle-medical-deserts_May-2023.pdf</w:t>
        </w:r>
      </w:hyperlink>
      <w:r w:rsidR="5254084A" w:rsidRPr="1F6F06D5">
        <w:rPr>
          <w:lang w:val="fr-BE"/>
        </w:rPr>
        <w:t xml:space="preserve"> </w:t>
      </w:r>
    </w:p>
    <w:p w14:paraId="6D5027C2" w14:textId="26A18D32" w:rsidR="145BA272" w:rsidRDefault="05CEFAFD" w:rsidP="009849C5">
      <w:pPr>
        <w:pStyle w:val="ListParagraph"/>
        <w:numPr>
          <w:ilvl w:val="0"/>
          <w:numId w:val="4"/>
        </w:numPr>
        <w:ind w:left="0"/>
        <w:jc w:val="both"/>
      </w:pPr>
      <w:r>
        <w:t>AHEAD Project (2024). "What are medical deserts?”. Available at</w:t>
      </w:r>
      <w:r w:rsidR="09918296">
        <w:t>:</w:t>
      </w:r>
      <w:r>
        <w:t xml:space="preserve"> </w:t>
      </w:r>
      <w:hyperlink r:id="rId12">
        <w:r w:rsidRPr="1F6F06D5">
          <w:rPr>
            <w:rStyle w:val="Hyperlink"/>
          </w:rPr>
          <w:t>https://ahead.health/results/medical-desert/</w:t>
        </w:r>
      </w:hyperlink>
    </w:p>
    <w:p w14:paraId="7962DD59" w14:textId="26441C64" w:rsidR="00431200" w:rsidRPr="000F2B8C" w:rsidRDefault="25BB27A2" w:rsidP="009849C5">
      <w:pPr>
        <w:pStyle w:val="ListParagraph"/>
        <w:numPr>
          <w:ilvl w:val="0"/>
          <w:numId w:val="4"/>
        </w:numPr>
        <w:ind w:left="0"/>
        <w:jc w:val="both"/>
      </w:pPr>
      <w:r>
        <w:t>Association of Schools of Public Health in the European Region (ASPHER)</w:t>
      </w:r>
      <w:r w:rsidR="22596B87">
        <w:t xml:space="preserve"> (2021).</w:t>
      </w:r>
      <w:r w:rsidR="58C2AD9F">
        <w:t xml:space="preserve"> “ASPHER Climate and Health Competencies for Public Health Professionals in Europe”.</w:t>
      </w:r>
      <w:r w:rsidR="1291E72C">
        <w:t xml:space="preserve"> Available at</w:t>
      </w:r>
      <w:r w:rsidR="3B577BB6">
        <w:t>:</w:t>
      </w:r>
      <w:r w:rsidR="1291E72C">
        <w:t xml:space="preserve"> </w:t>
      </w:r>
      <w:hyperlink r:id="rId13">
        <w:r w:rsidR="1291E72C" w:rsidRPr="1F6F06D5">
          <w:rPr>
            <w:rStyle w:val="Hyperlink"/>
          </w:rPr>
          <w:t>https://www.aspher.org/download/882/25-10-2021-final_aspher-climate-and-health-competencies-for-public-health-professionals-in-europe.pdf</w:t>
        </w:r>
      </w:hyperlink>
      <w:r w:rsidR="1291E72C">
        <w:t xml:space="preserve"> </w:t>
      </w:r>
    </w:p>
    <w:p w14:paraId="22999D89" w14:textId="57BFBCB2" w:rsidR="144374C5" w:rsidRDefault="7A79550D" w:rsidP="009849C5">
      <w:pPr>
        <w:pStyle w:val="ListParagraph"/>
        <w:numPr>
          <w:ilvl w:val="0"/>
          <w:numId w:val="4"/>
        </w:numPr>
        <w:ind w:left="0"/>
        <w:jc w:val="both"/>
        <w:rPr>
          <w:rFonts w:eastAsiaTheme="minorEastAsia"/>
        </w:rPr>
      </w:pPr>
      <w:r w:rsidRPr="1F6F06D5">
        <w:rPr>
          <w:rFonts w:eastAsiaTheme="minorEastAsia"/>
        </w:rPr>
        <w:t xml:space="preserve">Awan S. et al. (2022). “Suicide in Healthcare Workers: Determinants, Challenges, and the Impact of COVID-19". </w:t>
      </w:r>
      <w:r w:rsidRPr="1F6F06D5">
        <w:rPr>
          <w:rFonts w:eastAsiaTheme="minorEastAsia"/>
          <w:i/>
          <w:iCs/>
        </w:rPr>
        <w:t>Front. Psychiatry</w:t>
      </w:r>
      <w:r w:rsidR="460D0D00" w:rsidRPr="1F6F06D5">
        <w:rPr>
          <w:rFonts w:eastAsiaTheme="minorEastAsia"/>
          <w:i/>
          <w:iCs/>
        </w:rPr>
        <w:t xml:space="preserve">. </w:t>
      </w:r>
      <w:r w:rsidRPr="1F6F06D5">
        <w:rPr>
          <w:rFonts w:eastAsiaTheme="minorEastAsia"/>
        </w:rPr>
        <w:t>12</w:t>
      </w:r>
      <w:r w:rsidR="7AECF0EA" w:rsidRPr="1F6F06D5">
        <w:rPr>
          <w:rFonts w:eastAsiaTheme="minorEastAsia"/>
        </w:rPr>
        <w:t>. Available at</w:t>
      </w:r>
      <w:r w:rsidR="5E5E3871" w:rsidRPr="1F6F06D5">
        <w:rPr>
          <w:rFonts w:eastAsiaTheme="minorEastAsia"/>
        </w:rPr>
        <w:t>:</w:t>
      </w:r>
      <w:r w:rsidR="7AECF0EA" w:rsidRPr="1F6F06D5">
        <w:rPr>
          <w:rFonts w:eastAsiaTheme="minorEastAsia"/>
        </w:rPr>
        <w:t xml:space="preserve"> </w:t>
      </w:r>
      <w:hyperlink r:id="rId14">
        <w:r w:rsidR="7AECF0EA" w:rsidRPr="1F6F06D5">
          <w:rPr>
            <w:rStyle w:val="Hyperlink"/>
            <w:rFonts w:eastAsiaTheme="minorEastAsia"/>
          </w:rPr>
          <w:t>https://www.frontiersin.org/journals/psychiatry/articles/10.3389/fpsyt.2021.792925/full</w:t>
        </w:r>
      </w:hyperlink>
    </w:p>
    <w:p w14:paraId="03001540" w14:textId="6F1BBF0F" w:rsidR="273652A5" w:rsidRDefault="46EF2712" w:rsidP="009849C5">
      <w:pPr>
        <w:pStyle w:val="ListParagraph"/>
        <w:numPr>
          <w:ilvl w:val="0"/>
          <w:numId w:val="4"/>
        </w:numPr>
        <w:ind w:left="0"/>
        <w:jc w:val="both"/>
        <w:rPr>
          <w:rFonts w:eastAsiaTheme="minorEastAsia"/>
        </w:rPr>
      </w:pPr>
      <w:proofErr w:type="spellStart"/>
      <w:r w:rsidRPr="1F6F06D5">
        <w:rPr>
          <w:rFonts w:eastAsiaTheme="minorEastAsia"/>
          <w:lang w:val="fr-BE"/>
        </w:rPr>
        <w:t>Azzopardi</w:t>
      </w:r>
      <w:proofErr w:type="spellEnd"/>
      <w:r w:rsidRPr="1F6F06D5">
        <w:rPr>
          <w:rFonts w:eastAsiaTheme="minorEastAsia"/>
          <w:lang w:val="fr-BE"/>
        </w:rPr>
        <w:t xml:space="preserve">-Muscat N. et al. </w:t>
      </w:r>
      <w:r w:rsidRPr="1F6F06D5">
        <w:rPr>
          <w:rFonts w:eastAsiaTheme="minorEastAsia"/>
        </w:rPr>
        <w:t xml:space="preserve">(2023). “Moving from health workforce crisis to health workforce success: the time to act is now”. </w:t>
      </w:r>
      <w:r w:rsidRPr="1F6F06D5">
        <w:rPr>
          <w:rFonts w:eastAsiaTheme="minorEastAsia"/>
          <w:i/>
          <w:iCs/>
        </w:rPr>
        <w:t>The Lancet Regional Health</w:t>
      </w:r>
      <w:r w:rsidRPr="1F6F06D5">
        <w:rPr>
          <w:rFonts w:eastAsiaTheme="minorEastAsia"/>
        </w:rPr>
        <w:t>. 35. Available at</w:t>
      </w:r>
      <w:r w:rsidR="2169B493" w:rsidRPr="1F6F06D5">
        <w:rPr>
          <w:rFonts w:eastAsiaTheme="minorEastAsia"/>
        </w:rPr>
        <w:t>:</w:t>
      </w:r>
      <w:r w:rsidRPr="1F6F06D5">
        <w:rPr>
          <w:rFonts w:eastAsiaTheme="minorEastAsia"/>
        </w:rPr>
        <w:t xml:space="preserve"> </w:t>
      </w:r>
      <w:hyperlink r:id="rId15">
        <w:r w:rsidRPr="1F6F06D5">
          <w:rPr>
            <w:rStyle w:val="Hyperlink"/>
            <w:rFonts w:eastAsiaTheme="minorEastAsia"/>
          </w:rPr>
          <w:t>https://www.thelancet.com/journals/lanepe/article/PIIS2666-7762(23)00184-9/fulltext</w:t>
        </w:r>
      </w:hyperlink>
    </w:p>
    <w:p w14:paraId="489DA433" w14:textId="43918658" w:rsidR="00537771" w:rsidRPr="00537771" w:rsidRDefault="00537771" w:rsidP="009849C5">
      <w:pPr>
        <w:pStyle w:val="ListParagraph"/>
        <w:numPr>
          <w:ilvl w:val="0"/>
          <w:numId w:val="4"/>
        </w:numPr>
        <w:ind w:left="0"/>
        <w:jc w:val="both"/>
      </w:pPr>
      <w:r w:rsidRPr="00537771">
        <w:rPr>
          <w:rFonts w:cstheme="minorHAnsi"/>
        </w:rPr>
        <w:t xml:space="preserve">Belgian Presidency of the Council of the European Union (2024). “Programme – Belgian Presidency of the Council of the European Union – First half of 2024”. Available at: </w:t>
      </w:r>
      <w:hyperlink r:id="rId16" w:history="1">
        <w:r w:rsidRPr="00537771">
          <w:rPr>
            <w:rStyle w:val="Hyperlink"/>
            <w:rFonts w:cstheme="minorHAnsi"/>
          </w:rPr>
          <w:t>https://belgian-presidency.consilium.europa.eu/media/3kajw1io/programme_en.pdf</w:t>
        </w:r>
      </w:hyperlink>
    </w:p>
    <w:p w14:paraId="6D01DEA0" w14:textId="298E6ACC" w:rsidR="00CF48A4" w:rsidRDefault="4B675E87" w:rsidP="009849C5">
      <w:pPr>
        <w:pStyle w:val="ListParagraph"/>
        <w:numPr>
          <w:ilvl w:val="0"/>
          <w:numId w:val="4"/>
        </w:numPr>
        <w:ind w:left="0"/>
        <w:jc w:val="both"/>
      </w:pPr>
      <w:r>
        <w:t xml:space="preserve">Bucharest Declaration on health and care workforce (2023). </w:t>
      </w:r>
      <w:r w:rsidR="0F8D006F">
        <w:t>“</w:t>
      </w:r>
      <w:r>
        <w:t>High-level Regional Meeting on Health and Care Workforce in Europe: time to act</w:t>
      </w:r>
      <w:r w:rsidR="0F8D006F">
        <w:t>”</w:t>
      </w:r>
      <w:r>
        <w:t>.</w:t>
      </w:r>
      <w:r w:rsidR="3D3D231A">
        <w:t xml:space="preserve"> Available at</w:t>
      </w:r>
      <w:r w:rsidR="73D13B70">
        <w:t>:</w:t>
      </w:r>
      <w:r w:rsidR="3D3D231A">
        <w:t xml:space="preserve"> </w:t>
      </w:r>
      <w:hyperlink r:id="rId17">
        <w:r w:rsidR="3D3D231A" w:rsidRPr="1F6F06D5">
          <w:rPr>
            <w:rStyle w:val="Hyperlink"/>
          </w:rPr>
          <w:t>https://www.who.int/europe/publications/i/item/bucharest-declaration</w:t>
        </w:r>
      </w:hyperlink>
    </w:p>
    <w:p w14:paraId="65EF270B" w14:textId="22824186" w:rsidR="411A3B0A" w:rsidRDefault="3098A69B" w:rsidP="009849C5">
      <w:pPr>
        <w:pStyle w:val="ListParagraph"/>
        <w:numPr>
          <w:ilvl w:val="0"/>
          <w:numId w:val="4"/>
        </w:numPr>
        <w:ind w:left="0"/>
        <w:jc w:val="both"/>
      </w:pPr>
      <w:proofErr w:type="spellStart"/>
      <w:r>
        <w:t>Center</w:t>
      </w:r>
      <w:proofErr w:type="spellEnd"/>
      <w:r>
        <w:t xml:space="preserve"> for Global Development (2024). "Sustainable Recruitment of Nurses (Triple Win)”. Available at</w:t>
      </w:r>
      <w:r w:rsidR="42B21895">
        <w:t>:</w:t>
      </w:r>
      <w:r>
        <w:t xml:space="preserve"> </w:t>
      </w:r>
      <w:hyperlink r:id="rId18">
        <w:r w:rsidRPr="1F6F06D5">
          <w:rPr>
            <w:rStyle w:val="Hyperlink"/>
          </w:rPr>
          <w:t>https://gsp.cgdev.org/legalpathway/sustainable-recruitment-of-nurses-triple-win/</w:t>
        </w:r>
      </w:hyperlink>
    </w:p>
    <w:p w14:paraId="44DD4BF9" w14:textId="2E7EB836" w:rsidR="2CA76F2F" w:rsidRDefault="73F8963A" w:rsidP="009849C5">
      <w:pPr>
        <w:pStyle w:val="ListParagraph"/>
        <w:numPr>
          <w:ilvl w:val="0"/>
          <w:numId w:val="4"/>
        </w:numPr>
        <w:ind w:left="0"/>
        <w:jc w:val="both"/>
        <w:rPr>
          <w:rFonts w:eastAsiaTheme="minorEastAsia"/>
        </w:rPr>
      </w:pPr>
      <w:r w:rsidRPr="1F6F06D5">
        <w:rPr>
          <w:rFonts w:eastAsiaTheme="minorEastAsia"/>
          <w:lang w:val="es-419"/>
        </w:rPr>
        <w:t xml:space="preserve">De </w:t>
      </w:r>
      <w:proofErr w:type="spellStart"/>
      <w:r w:rsidRPr="1F6F06D5">
        <w:rPr>
          <w:rFonts w:eastAsiaTheme="minorEastAsia"/>
          <w:lang w:val="es-419"/>
        </w:rPr>
        <w:t>Staat</w:t>
      </w:r>
      <w:proofErr w:type="spellEnd"/>
      <w:r w:rsidRPr="1F6F06D5">
        <w:rPr>
          <w:rFonts w:eastAsiaTheme="minorEastAsia"/>
          <w:lang w:val="es-419"/>
        </w:rPr>
        <w:t xml:space="preserve"> van Volksgezondheid en </w:t>
      </w:r>
      <w:proofErr w:type="spellStart"/>
      <w:r w:rsidRPr="1F6F06D5">
        <w:rPr>
          <w:rFonts w:eastAsiaTheme="minorEastAsia"/>
          <w:lang w:val="es-419"/>
        </w:rPr>
        <w:t>Zorg</w:t>
      </w:r>
      <w:proofErr w:type="spellEnd"/>
      <w:r w:rsidRPr="1F6F06D5">
        <w:rPr>
          <w:rFonts w:eastAsiaTheme="minorEastAsia"/>
          <w:lang w:val="es-419"/>
        </w:rPr>
        <w:t xml:space="preserve"> (2024). </w:t>
      </w:r>
      <w:r w:rsidRPr="1F6F06D5">
        <w:rPr>
          <w:rFonts w:eastAsiaTheme="minorEastAsia"/>
        </w:rPr>
        <w:t>“</w:t>
      </w:r>
      <w:proofErr w:type="spellStart"/>
      <w:r w:rsidRPr="1F6F06D5">
        <w:rPr>
          <w:rFonts w:eastAsiaTheme="minorEastAsia"/>
        </w:rPr>
        <w:t>Apotheekhoudende</w:t>
      </w:r>
      <w:proofErr w:type="spellEnd"/>
      <w:r w:rsidRPr="1F6F06D5">
        <w:rPr>
          <w:rFonts w:eastAsiaTheme="minorEastAsia"/>
        </w:rPr>
        <w:t xml:space="preserve"> </w:t>
      </w:r>
      <w:proofErr w:type="spellStart"/>
      <w:r w:rsidRPr="1F6F06D5">
        <w:rPr>
          <w:rFonts w:eastAsiaTheme="minorEastAsia"/>
        </w:rPr>
        <w:t>huisartsenpraktijken</w:t>
      </w:r>
      <w:proofErr w:type="spellEnd"/>
      <w:r w:rsidRPr="1F6F06D5">
        <w:rPr>
          <w:rFonts w:eastAsiaTheme="minorEastAsia"/>
        </w:rPr>
        <w:t>”. Available at</w:t>
      </w:r>
      <w:r w:rsidR="67728ED4" w:rsidRPr="1F6F06D5">
        <w:rPr>
          <w:rFonts w:eastAsiaTheme="minorEastAsia"/>
        </w:rPr>
        <w:t>:</w:t>
      </w:r>
      <w:r w:rsidRPr="1F6F06D5">
        <w:rPr>
          <w:rFonts w:eastAsiaTheme="minorEastAsia"/>
        </w:rPr>
        <w:t xml:space="preserve"> </w:t>
      </w:r>
      <w:hyperlink r:id="rId19">
        <w:r w:rsidRPr="1F6F06D5">
          <w:rPr>
            <w:rStyle w:val="Hyperlink"/>
            <w:rFonts w:eastAsiaTheme="minorEastAsia"/>
          </w:rPr>
          <w:t>https://www.staatvenz.nl/kerncijfers/apotheekhoudende-huisartsenpraktijken-aantal</w:t>
        </w:r>
      </w:hyperlink>
    </w:p>
    <w:p w14:paraId="24BC5DC9" w14:textId="03B29879" w:rsidR="11F34A2E" w:rsidRPr="002B6E4E" w:rsidRDefault="2206359C" w:rsidP="009849C5">
      <w:pPr>
        <w:pStyle w:val="ListParagraph"/>
        <w:numPr>
          <w:ilvl w:val="0"/>
          <w:numId w:val="4"/>
        </w:numPr>
        <w:ind w:left="0"/>
        <w:jc w:val="both"/>
        <w:rPr>
          <w:rFonts w:eastAsiaTheme="minorEastAsia"/>
          <w:lang w:val="en-US"/>
        </w:rPr>
      </w:pPr>
      <w:proofErr w:type="spellStart"/>
      <w:r w:rsidRPr="1F6F06D5">
        <w:rPr>
          <w:rFonts w:eastAsiaTheme="minorEastAsia"/>
          <w:lang w:val="en-US"/>
        </w:rPr>
        <w:t>Eurocadres</w:t>
      </w:r>
      <w:proofErr w:type="spellEnd"/>
      <w:r w:rsidRPr="1F6F06D5">
        <w:rPr>
          <w:rFonts w:eastAsiaTheme="minorEastAsia"/>
          <w:lang w:val="en-US"/>
        </w:rPr>
        <w:t xml:space="preserve"> (2022). </w:t>
      </w:r>
      <w:r w:rsidR="1A9453E3" w:rsidRPr="1F6F06D5">
        <w:rPr>
          <w:rFonts w:eastAsiaTheme="minorEastAsia"/>
          <w:lang w:val="en-US"/>
        </w:rPr>
        <w:t>“</w:t>
      </w:r>
      <w:r w:rsidRPr="1F6F06D5">
        <w:rPr>
          <w:rFonts w:eastAsiaTheme="minorEastAsia"/>
          <w:lang w:val="en-US"/>
        </w:rPr>
        <w:t>European Parliament calls for a directive on psychosocial risks”. 10 March 2022. Available at</w:t>
      </w:r>
      <w:r w:rsidR="173BEDE5" w:rsidRPr="1F6F06D5">
        <w:rPr>
          <w:rFonts w:eastAsiaTheme="minorEastAsia"/>
          <w:lang w:val="en-US"/>
        </w:rPr>
        <w:t>:</w:t>
      </w:r>
      <w:r w:rsidRPr="1F6F06D5">
        <w:rPr>
          <w:rFonts w:eastAsiaTheme="minorEastAsia"/>
          <w:lang w:val="en-US"/>
        </w:rPr>
        <w:t xml:space="preserve"> </w:t>
      </w:r>
      <w:hyperlink r:id="rId20">
        <w:r w:rsidRPr="1F6F06D5">
          <w:rPr>
            <w:rStyle w:val="Hyperlink"/>
            <w:rFonts w:eastAsiaTheme="minorEastAsia"/>
            <w:lang w:val="en-US"/>
          </w:rPr>
          <w:t>https://www.eurocadres.eu/news/european-parliament-calls-for-a-directive-on-psychosocial-risks/</w:t>
        </w:r>
      </w:hyperlink>
    </w:p>
    <w:p w14:paraId="3AAC39FB" w14:textId="4EA0FFB9" w:rsidR="4677036F" w:rsidRDefault="2E1DE640" w:rsidP="009849C5">
      <w:pPr>
        <w:pStyle w:val="ListParagraph"/>
        <w:numPr>
          <w:ilvl w:val="0"/>
          <w:numId w:val="4"/>
        </w:numPr>
        <w:ind w:left="0"/>
        <w:jc w:val="both"/>
      </w:pPr>
      <w:r>
        <w:t>European Association of Hospital Pharmacists (EAHP)</w:t>
      </w:r>
      <w:r w:rsidR="3D3D231A">
        <w:t xml:space="preserve"> (2023)</w:t>
      </w:r>
      <w:r>
        <w:t xml:space="preserve">. </w:t>
      </w:r>
      <w:r w:rsidR="0F8D006F">
        <w:t>“</w:t>
      </w:r>
      <w:r>
        <w:t>EAHP Position Paper on the Hospital Pharmacy Workforc</w:t>
      </w:r>
      <w:r w:rsidR="3D3D231A">
        <w:t>e</w:t>
      </w:r>
      <w:r w:rsidR="0F8D006F">
        <w:t>”</w:t>
      </w:r>
      <w:r>
        <w:t>. Available at</w:t>
      </w:r>
      <w:r w:rsidR="70F1FB39">
        <w:t>:</w:t>
      </w:r>
      <w:r>
        <w:t xml:space="preserve"> </w:t>
      </w:r>
      <w:hyperlink r:id="rId21">
        <w:r w:rsidR="3D3D231A" w:rsidRPr="1F6F06D5">
          <w:rPr>
            <w:rStyle w:val="Hyperlink"/>
          </w:rPr>
          <w:t>https://www.eahp.eu/practice-and-policy/workforce</w:t>
        </w:r>
      </w:hyperlink>
    </w:p>
    <w:p w14:paraId="32870941" w14:textId="2C6F057F" w:rsidR="32B32D87" w:rsidRDefault="3FAD4A4F" w:rsidP="009849C5">
      <w:pPr>
        <w:pStyle w:val="ListParagraph"/>
        <w:numPr>
          <w:ilvl w:val="0"/>
          <w:numId w:val="4"/>
        </w:numPr>
        <w:ind w:left="0"/>
        <w:jc w:val="both"/>
        <w:rPr>
          <w:rFonts w:eastAsiaTheme="minorEastAsia"/>
        </w:rPr>
      </w:pPr>
      <w:r w:rsidRPr="1F6F06D5">
        <w:rPr>
          <w:rFonts w:eastAsiaTheme="minorEastAsia"/>
        </w:rPr>
        <w:t xml:space="preserve">European Commission (2022). “Communication from the Commission to the European Parliament, the Council, the European Economic and Social Committee and the Committee of the Regions on the European Care Strategy”. </w:t>
      </w:r>
      <w:proofErr w:type="gramStart"/>
      <w:r w:rsidRPr="1F6F06D5">
        <w:rPr>
          <w:rFonts w:eastAsiaTheme="minorEastAsia"/>
        </w:rPr>
        <w:t>COM(</w:t>
      </w:r>
      <w:proofErr w:type="gramEnd"/>
      <w:r w:rsidRPr="1F6F06D5">
        <w:rPr>
          <w:rFonts w:eastAsiaTheme="minorEastAsia"/>
        </w:rPr>
        <w:t>2022) 440 final. Available at</w:t>
      </w:r>
      <w:r w:rsidR="57810C59" w:rsidRPr="1F6F06D5">
        <w:rPr>
          <w:rFonts w:eastAsiaTheme="minorEastAsia"/>
        </w:rPr>
        <w:t>:</w:t>
      </w:r>
      <w:r w:rsidRPr="1F6F06D5">
        <w:rPr>
          <w:rFonts w:eastAsiaTheme="minorEastAsia"/>
        </w:rPr>
        <w:t xml:space="preserve"> </w:t>
      </w:r>
      <w:hyperlink r:id="rId22">
        <w:r w:rsidRPr="1F6F06D5">
          <w:rPr>
            <w:rStyle w:val="Hyperlink"/>
            <w:rFonts w:eastAsiaTheme="minorEastAsia"/>
          </w:rPr>
          <w:t>https://eur-lex.europa.eu/legal-content/EN/TXT/PDF/?uri=CELEX:52022DC0440</w:t>
        </w:r>
      </w:hyperlink>
      <w:r w:rsidRPr="1F6F06D5">
        <w:rPr>
          <w:rFonts w:eastAsiaTheme="minorEastAsia"/>
        </w:rPr>
        <w:t>.</w:t>
      </w:r>
    </w:p>
    <w:p w14:paraId="59FB4320" w14:textId="5E71BF3F" w:rsidR="00255BD5" w:rsidRDefault="3D528BE7" w:rsidP="009849C5">
      <w:pPr>
        <w:pStyle w:val="ListParagraph"/>
        <w:numPr>
          <w:ilvl w:val="0"/>
          <w:numId w:val="4"/>
        </w:numPr>
        <w:ind w:left="0"/>
        <w:jc w:val="both"/>
        <w:rPr>
          <w:rFonts w:eastAsia="Arial"/>
        </w:rPr>
      </w:pPr>
      <w:r w:rsidRPr="1F6F06D5">
        <w:rPr>
          <w:rFonts w:eastAsiaTheme="minorEastAsia"/>
        </w:rPr>
        <w:t xml:space="preserve">European Commission, Directorate-General for Employment, Social </w:t>
      </w:r>
      <w:proofErr w:type="gramStart"/>
      <w:r w:rsidRPr="1F6F06D5">
        <w:rPr>
          <w:rFonts w:eastAsiaTheme="minorEastAsia"/>
        </w:rPr>
        <w:t>Affairs</w:t>
      </w:r>
      <w:proofErr w:type="gramEnd"/>
      <w:r w:rsidRPr="1F6F06D5">
        <w:rPr>
          <w:rFonts w:eastAsiaTheme="minorEastAsia"/>
        </w:rPr>
        <w:t xml:space="preserve"> and Inclusion (2023). </w:t>
      </w:r>
      <w:r w:rsidRPr="1F6F06D5">
        <w:rPr>
          <w:rFonts w:eastAsiaTheme="minorEastAsia"/>
          <w:i/>
          <w:iCs/>
        </w:rPr>
        <w:t>Employment and social developments in Europe 2023</w:t>
      </w:r>
      <w:r w:rsidRPr="1F6F06D5">
        <w:rPr>
          <w:rFonts w:eastAsiaTheme="minorEastAsia"/>
        </w:rPr>
        <w:t>, Publications Office of the European Union. Available at</w:t>
      </w:r>
      <w:r w:rsidR="5B4FB88B" w:rsidRPr="1F6F06D5">
        <w:rPr>
          <w:rFonts w:eastAsiaTheme="minorEastAsia"/>
        </w:rPr>
        <w:t>:</w:t>
      </w:r>
      <w:r w:rsidRPr="1F6F06D5">
        <w:rPr>
          <w:rFonts w:eastAsiaTheme="minorEastAsia"/>
        </w:rPr>
        <w:t xml:space="preserve"> </w:t>
      </w:r>
      <w:hyperlink r:id="rId23">
        <w:r w:rsidRPr="1F6F06D5">
          <w:rPr>
            <w:rStyle w:val="Hyperlink"/>
            <w:rFonts w:eastAsia="Arial"/>
          </w:rPr>
          <w:t>https://data.europa.eu/doi/10.2767/089698</w:t>
        </w:r>
      </w:hyperlink>
    </w:p>
    <w:p w14:paraId="708BE992" w14:textId="4F622944" w:rsidR="00A51C75" w:rsidRDefault="42D2A921" w:rsidP="009849C5">
      <w:pPr>
        <w:pStyle w:val="ListParagraph"/>
        <w:numPr>
          <w:ilvl w:val="0"/>
          <w:numId w:val="4"/>
        </w:numPr>
        <w:ind w:left="0"/>
        <w:jc w:val="both"/>
        <w:rPr>
          <w:rStyle w:val="Hyperlink"/>
        </w:rPr>
      </w:pPr>
      <w:r>
        <w:t>European Commission (2023)</w:t>
      </w:r>
      <w:r w:rsidR="20F9B4B1">
        <w:t>.</w:t>
      </w:r>
      <w:r>
        <w:t xml:space="preserve"> </w:t>
      </w:r>
      <w:r w:rsidR="44FF3126">
        <w:t>“</w:t>
      </w:r>
      <w:r>
        <w:t>State of Health in the EU. Synthesis Report 2023”</w:t>
      </w:r>
      <w:r w:rsidR="21DE505E">
        <w:t>. A</w:t>
      </w:r>
      <w:r>
        <w:t>vailable at</w:t>
      </w:r>
      <w:r w:rsidR="27CB62EA">
        <w:t>:</w:t>
      </w:r>
      <w:r>
        <w:t xml:space="preserve"> </w:t>
      </w:r>
      <w:hyperlink r:id="rId24">
        <w:r w:rsidRPr="1F6F06D5">
          <w:rPr>
            <w:rStyle w:val="Hyperlink"/>
          </w:rPr>
          <w:t>https://health.ec.europa.eu/document/download/66d6601b-8a37-4d44-ae2b-3ba2f8f34f41_en?filename=state_2023_synthesis-report_en.pdf</w:t>
        </w:r>
      </w:hyperlink>
    </w:p>
    <w:p w14:paraId="26B20111" w14:textId="3AEFA3F5" w:rsidR="00A51C75" w:rsidRPr="00A51C75" w:rsidRDefault="43CF063C" w:rsidP="009849C5">
      <w:pPr>
        <w:pStyle w:val="ListParagraph"/>
        <w:numPr>
          <w:ilvl w:val="0"/>
          <w:numId w:val="4"/>
        </w:numPr>
        <w:ind w:left="0"/>
        <w:jc w:val="both"/>
        <w:rPr>
          <w:color w:val="0563C1" w:themeColor="hyperlink"/>
          <w:u w:val="single"/>
        </w:rPr>
      </w:pPr>
      <w:r>
        <w:t xml:space="preserve">European Economic and Social Committee (2022). </w:t>
      </w:r>
      <w:r w:rsidR="162F5D38">
        <w:t>“</w:t>
      </w:r>
      <w:r>
        <w:t>Opinion of the European Economic and Social Committee on Health Workforce and Care Strategy for the future of Europe</w:t>
      </w:r>
      <w:r w:rsidR="3A465D2A">
        <w:t>”</w:t>
      </w:r>
      <w:r>
        <w:t xml:space="preserve">. Available at: </w:t>
      </w:r>
      <w:hyperlink r:id="rId25">
        <w:r w:rsidRPr="1F6F06D5">
          <w:rPr>
            <w:rStyle w:val="Hyperlink"/>
          </w:rPr>
          <w:t>https://eur-lex.europa.eu/legal-content/EN/TXT/PDF/?uri=CELEX:52022IE1513</w:t>
        </w:r>
      </w:hyperlink>
      <w:r>
        <w:t xml:space="preserve"> </w:t>
      </w:r>
    </w:p>
    <w:p w14:paraId="17D930CB" w14:textId="59607E88" w:rsidR="28B8DE30" w:rsidRDefault="400A9B81" w:rsidP="009849C5">
      <w:pPr>
        <w:pStyle w:val="ListParagraph"/>
        <w:numPr>
          <w:ilvl w:val="0"/>
          <w:numId w:val="4"/>
        </w:numPr>
        <w:ind w:left="0"/>
        <w:jc w:val="both"/>
        <w:rPr>
          <w:rFonts w:eastAsiaTheme="minorEastAsia"/>
          <w:lang w:val="en-US"/>
        </w:rPr>
      </w:pPr>
      <w:r w:rsidRPr="1F6F06D5">
        <w:rPr>
          <w:rFonts w:eastAsiaTheme="minorEastAsia"/>
          <w:lang w:val="en-US"/>
        </w:rPr>
        <w:t>European Hospital and Healthcare Federation (2024). “Health workforce planning and forecasting expert (SEPEN) network”. Available at</w:t>
      </w:r>
      <w:r w:rsidR="3DD68682" w:rsidRPr="1F6F06D5">
        <w:rPr>
          <w:rFonts w:eastAsiaTheme="minorEastAsia"/>
          <w:lang w:val="en-US"/>
        </w:rPr>
        <w:t>:</w:t>
      </w:r>
      <w:r w:rsidRPr="1F6F06D5">
        <w:rPr>
          <w:rFonts w:eastAsiaTheme="minorEastAsia"/>
          <w:lang w:val="en-US"/>
        </w:rPr>
        <w:t xml:space="preserve"> </w:t>
      </w:r>
      <w:hyperlink r:id="rId26">
        <w:r w:rsidRPr="1F6F06D5">
          <w:rPr>
            <w:rStyle w:val="Hyperlink"/>
            <w:rFonts w:eastAsiaTheme="minorEastAsia"/>
            <w:lang w:val="en-US"/>
          </w:rPr>
          <w:t>https://hope.be/EU_Projects/sepen/</w:t>
        </w:r>
      </w:hyperlink>
    </w:p>
    <w:p w14:paraId="0B70FC28" w14:textId="1031937E" w:rsidR="00255BD5" w:rsidRDefault="3D528BE7" w:rsidP="009849C5">
      <w:pPr>
        <w:pStyle w:val="ListParagraph"/>
        <w:numPr>
          <w:ilvl w:val="0"/>
          <w:numId w:val="4"/>
        </w:numPr>
        <w:ind w:left="0"/>
        <w:jc w:val="both"/>
        <w:rPr>
          <w:rFonts w:ascii="Calibri" w:eastAsia="Calibri" w:hAnsi="Calibri" w:cs="Calibri"/>
          <w:color w:val="000000" w:themeColor="text1"/>
        </w:rPr>
      </w:pPr>
      <w:r w:rsidRPr="1F6F06D5">
        <w:rPr>
          <w:rFonts w:ascii="Calibri" w:eastAsia="Calibri" w:hAnsi="Calibri" w:cs="Calibri"/>
          <w:color w:val="000000" w:themeColor="text1"/>
        </w:rPr>
        <w:t>European Institute for Gender Equality (2021). “Gender inequalities in care and consequences for the labour market”. Available at</w:t>
      </w:r>
      <w:r w:rsidR="1772E844" w:rsidRPr="1F6F06D5">
        <w:rPr>
          <w:rFonts w:ascii="Calibri" w:eastAsia="Calibri" w:hAnsi="Calibri" w:cs="Calibri"/>
          <w:color w:val="000000" w:themeColor="text1"/>
        </w:rPr>
        <w:t>:</w:t>
      </w:r>
      <w:r w:rsidRPr="1F6F06D5">
        <w:rPr>
          <w:rFonts w:ascii="Calibri" w:eastAsia="Calibri" w:hAnsi="Calibri" w:cs="Calibri"/>
          <w:color w:val="000000" w:themeColor="text1"/>
        </w:rPr>
        <w:t xml:space="preserve"> </w:t>
      </w:r>
      <w:hyperlink r:id="rId27">
        <w:r w:rsidRPr="1F6F06D5">
          <w:rPr>
            <w:rStyle w:val="Hyperlink"/>
            <w:rFonts w:ascii="Calibri" w:eastAsia="Calibri" w:hAnsi="Calibri" w:cs="Calibri"/>
          </w:rPr>
          <w:t>https://eige.europa.eu/publications-resources/publications/gender-inequalities-care-and-consequences-labour-market</w:t>
        </w:r>
      </w:hyperlink>
    </w:p>
    <w:p w14:paraId="27D0AD04" w14:textId="07049E03" w:rsidR="00255BD5" w:rsidRPr="00AA159A" w:rsidRDefault="3D528BE7" w:rsidP="009849C5">
      <w:pPr>
        <w:pStyle w:val="ListParagraph"/>
        <w:numPr>
          <w:ilvl w:val="0"/>
          <w:numId w:val="4"/>
        </w:numPr>
        <w:ind w:left="0"/>
        <w:jc w:val="both"/>
        <w:rPr>
          <w:rFonts w:eastAsiaTheme="minorEastAsia"/>
        </w:rPr>
      </w:pPr>
      <w:r w:rsidRPr="1F6F06D5">
        <w:rPr>
          <w:rFonts w:eastAsiaTheme="minorEastAsia"/>
        </w:rPr>
        <w:t>European Observatory on Health Systems and Policies (2023</w:t>
      </w:r>
      <w:r w:rsidR="2509C879" w:rsidRPr="1F6F06D5">
        <w:rPr>
          <w:rFonts w:eastAsiaTheme="minorEastAsia"/>
        </w:rPr>
        <w:t>a</w:t>
      </w:r>
      <w:r w:rsidRPr="1F6F06D5">
        <w:rPr>
          <w:rFonts w:eastAsiaTheme="minorEastAsia"/>
        </w:rPr>
        <w:t>). “Briefing paper: Enhancing the labour market for health and care workers - Public debate on the future health priorities of the European Union”. Available at</w:t>
      </w:r>
      <w:r w:rsidR="553F2E96" w:rsidRPr="1F6F06D5">
        <w:rPr>
          <w:rFonts w:eastAsiaTheme="minorEastAsia"/>
        </w:rPr>
        <w:t>:</w:t>
      </w:r>
      <w:r w:rsidRPr="1F6F06D5">
        <w:rPr>
          <w:rFonts w:eastAsiaTheme="minorEastAsia"/>
        </w:rPr>
        <w:t xml:space="preserve">  </w:t>
      </w:r>
      <w:hyperlink r:id="rId28">
        <w:r w:rsidRPr="1F6F06D5">
          <w:rPr>
            <w:rStyle w:val="Hyperlink"/>
            <w:rFonts w:eastAsia="Helvetica Neue"/>
          </w:rPr>
          <w:t>https://eurohealthobservatory.who.int/publications/m/enhancing-the-labour-market-for-health-and-care-workers</w:t>
        </w:r>
      </w:hyperlink>
    </w:p>
    <w:p w14:paraId="354C38C6" w14:textId="1902F287" w:rsidR="00CF48A4" w:rsidRPr="0014413B" w:rsidRDefault="29E7A474" w:rsidP="009849C5">
      <w:pPr>
        <w:pStyle w:val="ListParagraph"/>
        <w:numPr>
          <w:ilvl w:val="0"/>
          <w:numId w:val="4"/>
        </w:numPr>
        <w:ind w:left="0"/>
        <w:jc w:val="both"/>
        <w:rPr>
          <w:lang w:val="en-US"/>
        </w:rPr>
      </w:pPr>
      <w:r>
        <w:t>European Observatory on Health Systems and Policies (2023</w:t>
      </w:r>
      <w:r w:rsidR="2509C879">
        <w:t>b</w:t>
      </w:r>
      <w:r>
        <w:t>). “What can intersectoral governance do to strengthen the health and care workforce? Structures and mechanisms to improve the education, employment and retention of health and care workers”. Policy brief n° 53.</w:t>
      </w:r>
      <w:r w:rsidR="71EEF65B">
        <w:t xml:space="preserve"> </w:t>
      </w:r>
      <w:r w:rsidR="21DE505E" w:rsidRPr="1F6F06D5">
        <w:rPr>
          <w:lang w:val="en-US"/>
        </w:rPr>
        <w:t>Available at</w:t>
      </w:r>
      <w:r w:rsidR="1D9470C6" w:rsidRPr="1F6F06D5">
        <w:rPr>
          <w:lang w:val="en-US"/>
        </w:rPr>
        <w:t>:</w:t>
      </w:r>
      <w:r w:rsidR="21DE505E" w:rsidRPr="1F6F06D5">
        <w:rPr>
          <w:lang w:val="en-US"/>
        </w:rPr>
        <w:t xml:space="preserve"> </w:t>
      </w:r>
      <w:hyperlink r:id="rId29">
        <w:r w:rsidR="21DE505E" w:rsidRPr="1F6F06D5">
          <w:rPr>
            <w:rStyle w:val="Hyperlink"/>
            <w:lang w:val="en-US"/>
          </w:rPr>
          <w:t>https://eurohealthobservatory.who.int/publications/i/what-can-intersectoral-governance-do-to-strengthen-the-health-and-care-workforce-structures-and-mechanisms-to-improve-the-education-employment-and-retention-of-health-and-care-workers</w:t>
        </w:r>
      </w:hyperlink>
      <w:r w:rsidR="71EEF65B" w:rsidRPr="1F6F06D5">
        <w:rPr>
          <w:lang w:val="en-US"/>
        </w:rPr>
        <w:t xml:space="preserve"> </w:t>
      </w:r>
    </w:p>
    <w:p w14:paraId="2ED0B05C" w14:textId="077CE127" w:rsidR="002E222E" w:rsidRPr="0014413B" w:rsidRDefault="29E7A474" w:rsidP="009849C5">
      <w:pPr>
        <w:pStyle w:val="ListParagraph"/>
        <w:numPr>
          <w:ilvl w:val="0"/>
          <w:numId w:val="4"/>
        </w:numPr>
        <w:ind w:left="0"/>
        <w:jc w:val="both"/>
        <w:rPr>
          <w:lang w:val="en-US"/>
        </w:rPr>
      </w:pPr>
      <w:r>
        <w:t>European Observatory on Health Systems and Policies (2023</w:t>
      </w:r>
      <w:r w:rsidR="2509C879">
        <w:t>c</w:t>
      </w:r>
      <w:r>
        <w:t>). “What steps can improve and promote investment in the health and care workforce? Enhancing efficiency of spending and rethinking domestic and international financing”. Policy brief n°54.</w:t>
      </w:r>
      <w:r w:rsidR="43CCF4C6">
        <w:t xml:space="preserve"> </w:t>
      </w:r>
      <w:r w:rsidR="21DE505E" w:rsidRPr="1F6F06D5">
        <w:rPr>
          <w:lang w:val="en-US"/>
        </w:rPr>
        <w:t>Available at</w:t>
      </w:r>
      <w:r w:rsidR="759644D3" w:rsidRPr="1F6F06D5">
        <w:rPr>
          <w:lang w:val="en-US"/>
        </w:rPr>
        <w:t>:</w:t>
      </w:r>
      <w:r w:rsidR="21DE505E" w:rsidRPr="1F6F06D5">
        <w:rPr>
          <w:lang w:val="en-US"/>
        </w:rPr>
        <w:t xml:space="preserve"> </w:t>
      </w:r>
      <w:hyperlink r:id="rId30">
        <w:r w:rsidR="21DE505E" w:rsidRPr="1F6F06D5">
          <w:rPr>
            <w:rStyle w:val="Hyperlink"/>
            <w:lang w:val="en-US"/>
          </w:rPr>
          <w:t>https://iris.who.int/bitstream/handle/10665/366654/Policy-brief-54-1997-8073-eng.pdf?sequence=1</w:t>
        </w:r>
      </w:hyperlink>
      <w:r w:rsidR="43CCF4C6" w:rsidRPr="1F6F06D5">
        <w:rPr>
          <w:lang w:val="en-US"/>
        </w:rPr>
        <w:t xml:space="preserve"> </w:t>
      </w:r>
    </w:p>
    <w:p w14:paraId="0F58A5DD" w14:textId="54875885" w:rsidR="002E222E" w:rsidRPr="0014413B" w:rsidRDefault="29E7A474" w:rsidP="009849C5">
      <w:pPr>
        <w:pStyle w:val="ListParagraph"/>
        <w:numPr>
          <w:ilvl w:val="0"/>
          <w:numId w:val="4"/>
        </w:numPr>
        <w:ind w:left="0"/>
        <w:jc w:val="both"/>
      </w:pPr>
      <w:r>
        <w:t>European Observatory on Health Systems and Policies (2023</w:t>
      </w:r>
      <w:r w:rsidR="2509C879">
        <w:t>d</w:t>
      </w:r>
      <w:r>
        <w:t>). “Strengthening primary care in Europe: How to increase the attractiveness of primary care for medical students and primary care physicians?”. Policy brief n°55.</w:t>
      </w:r>
      <w:r w:rsidR="21DE505E">
        <w:t xml:space="preserve"> Available at</w:t>
      </w:r>
      <w:r w:rsidR="15393815">
        <w:t>:</w:t>
      </w:r>
      <w:r w:rsidR="21DE505E">
        <w:t xml:space="preserve"> </w:t>
      </w:r>
      <w:hyperlink r:id="rId31">
        <w:r w:rsidR="6666D3B4" w:rsidRPr="1F6F06D5">
          <w:rPr>
            <w:rStyle w:val="Hyperlink"/>
          </w:rPr>
          <w:t>https://eurohealthobservatory.who.int/publications/i/strengthening-primary-care-in-europe-how-to-increase-the-attractiveness-of-primary-care-for-medical-students-and-primary-care-physicians</w:t>
        </w:r>
      </w:hyperlink>
    </w:p>
    <w:p w14:paraId="1A67EEAE" w14:textId="1C73019F" w:rsidR="47BDA48B" w:rsidRDefault="5B2AF8AE" w:rsidP="009849C5">
      <w:pPr>
        <w:pStyle w:val="ListParagraph"/>
        <w:numPr>
          <w:ilvl w:val="0"/>
          <w:numId w:val="4"/>
        </w:numPr>
        <w:ind w:left="0"/>
        <w:jc w:val="both"/>
        <w:rPr>
          <w:rFonts w:eastAsiaTheme="minorEastAsia"/>
          <w:lang w:val="en-US"/>
        </w:rPr>
      </w:pPr>
      <w:r w:rsidRPr="1F6F06D5">
        <w:rPr>
          <w:rFonts w:eastAsiaTheme="minorEastAsia"/>
          <w:lang w:val="en-US"/>
        </w:rPr>
        <w:t xml:space="preserve">European Public Health Alliance (2023). “Strengthening Public Health Across the European Union”. </w:t>
      </w:r>
      <w:r w:rsidR="082317CB" w:rsidRPr="1F6F06D5">
        <w:rPr>
          <w:rFonts w:eastAsiaTheme="minorEastAsia"/>
          <w:i/>
          <w:iCs/>
          <w:lang w:val="en-US"/>
        </w:rPr>
        <w:t>Manifesto</w:t>
      </w:r>
      <w:r w:rsidR="082317CB" w:rsidRPr="1F6F06D5">
        <w:rPr>
          <w:rFonts w:eastAsiaTheme="minorEastAsia"/>
          <w:lang w:val="en-US"/>
        </w:rPr>
        <w:t xml:space="preserve">. </w:t>
      </w:r>
      <w:r w:rsidRPr="1F6F06D5">
        <w:rPr>
          <w:rFonts w:eastAsiaTheme="minorEastAsia"/>
          <w:lang w:val="en-US"/>
        </w:rPr>
        <w:t>Available at</w:t>
      </w:r>
      <w:r w:rsidR="39057AD6" w:rsidRPr="1F6F06D5">
        <w:rPr>
          <w:rFonts w:eastAsiaTheme="minorEastAsia"/>
          <w:lang w:val="en-US"/>
        </w:rPr>
        <w:t>:</w:t>
      </w:r>
      <w:r w:rsidRPr="1F6F06D5">
        <w:rPr>
          <w:rFonts w:eastAsiaTheme="minorEastAsia"/>
          <w:lang w:val="en-US"/>
        </w:rPr>
        <w:t xml:space="preserve"> </w:t>
      </w:r>
      <w:hyperlink r:id="rId32">
        <w:r w:rsidRPr="1F6F06D5">
          <w:rPr>
            <w:rStyle w:val="Hyperlink"/>
            <w:rFonts w:eastAsiaTheme="minorEastAsia"/>
            <w:lang w:val="en-US"/>
          </w:rPr>
          <w:t>https://epha.org/wp-content/uploads/2023/11/2023_epha_strengthening-public-health-across-the-european-union.pdf</w:t>
        </w:r>
      </w:hyperlink>
    </w:p>
    <w:p w14:paraId="675BA138" w14:textId="7F7D8A04" w:rsidR="567F76D0" w:rsidRDefault="79DFE875" w:rsidP="009849C5">
      <w:pPr>
        <w:pStyle w:val="ListParagraph"/>
        <w:numPr>
          <w:ilvl w:val="0"/>
          <w:numId w:val="4"/>
        </w:numPr>
        <w:ind w:left="0"/>
        <w:jc w:val="both"/>
        <w:rPr>
          <w:rFonts w:eastAsiaTheme="minorEastAsia"/>
        </w:rPr>
      </w:pPr>
      <w:r w:rsidRPr="1F6F06D5">
        <w:rPr>
          <w:rFonts w:eastAsiaTheme="minorEastAsia"/>
          <w:lang w:val="en-US"/>
        </w:rPr>
        <w:t xml:space="preserve">European Specialist Nurses Organisation (2024). “A call for urgent action: Recognition of the </w:t>
      </w:r>
      <w:proofErr w:type="spellStart"/>
      <w:r w:rsidRPr="1F6F06D5">
        <w:rPr>
          <w:rFonts w:eastAsiaTheme="minorEastAsia"/>
          <w:lang w:val="en-US"/>
        </w:rPr>
        <w:t>Specialised</w:t>
      </w:r>
      <w:proofErr w:type="spellEnd"/>
      <w:r w:rsidRPr="1F6F06D5">
        <w:rPr>
          <w:rFonts w:eastAsiaTheme="minorEastAsia"/>
          <w:lang w:val="en-US"/>
        </w:rPr>
        <w:t xml:space="preserve"> and Advanced nursing profession in Europe”. </w:t>
      </w:r>
      <w:r w:rsidRPr="1F6F06D5">
        <w:rPr>
          <w:rFonts w:eastAsiaTheme="minorEastAsia"/>
          <w:i/>
          <w:iCs/>
          <w:lang w:val="en-US"/>
        </w:rPr>
        <w:t>Position paper</w:t>
      </w:r>
      <w:r w:rsidRPr="1F6F06D5">
        <w:rPr>
          <w:rFonts w:eastAsiaTheme="minorEastAsia"/>
          <w:lang w:val="en-US"/>
        </w:rPr>
        <w:t>. Available at</w:t>
      </w:r>
      <w:r w:rsidR="6AE17975" w:rsidRPr="1F6F06D5">
        <w:rPr>
          <w:rFonts w:eastAsiaTheme="minorEastAsia"/>
          <w:lang w:val="en-US"/>
        </w:rPr>
        <w:t>:</w:t>
      </w:r>
      <w:r w:rsidRPr="1F6F06D5">
        <w:rPr>
          <w:rFonts w:eastAsiaTheme="minorEastAsia"/>
          <w:lang w:val="en-US"/>
        </w:rPr>
        <w:t xml:space="preserve"> </w:t>
      </w:r>
      <w:hyperlink r:id="rId33">
        <w:r w:rsidRPr="1F6F06D5">
          <w:rPr>
            <w:rStyle w:val="Hyperlink"/>
            <w:rFonts w:eastAsiaTheme="minorEastAsia"/>
            <w:lang w:val="en-US"/>
          </w:rPr>
          <w:t>https://www.esno.org/assets/files/ICN-NP-APNN_Position_Paper.pdf</w:t>
        </w:r>
      </w:hyperlink>
    </w:p>
    <w:p w14:paraId="284C0E20" w14:textId="5094F8E3" w:rsidR="61565C61" w:rsidRDefault="63C8C560" w:rsidP="009849C5">
      <w:pPr>
        <w:pStyle w:val="ListParagraph"/>
        <w:numPr>
          <w:ilvl w:val="0"/>
          <w:numId w:val="4"/>
        </w:numPr>
        <w:ind w:left="0"/>
        <w:jc w:val="both"/>
        <w:rPr>
          <w:rFonts w:eastAsiaTheme="minorEastAsia"/>
        </w:rPr>
      </w:pPr>
      <w:r w:rsidRPr="1F6F06D5">
        <w:rPr>
          <w:rFonts w:eastAsiaTheme="minorEastAsia"/>
        </w:rPr>
        <w:t>European Union (2005). “Directive 2005/36/EC of the European Parliament and of the Council of 7 September 2005 on the recognition of professional qualifications (Text with EEA relevance)”. OJL 255</w:t>
      </w:r>
      <w:r w:rsidRPr="1F6F06D5">
        <w:rPr>
          <w:rFonts w:eastAsiaTheme="minorEastAsia"/>
          <w:i/>
          <w:iCs/>
        </w:rPr>
        <w:t xml:space="preserve">. </w:t>
      </w:r>
      <w:r w:rsidRPr="1F6F06D5">
        <w:rPr>
          <w:rFonts w:eastAsiaTheme="minorEastAsia"/>
        </w:rPr>
        <w:t>Available at</w:t>
      </w:r>
      <w:r w:rsidR="6EFD2EB2" w:rsidRPr="1F6F06D5">
        <w:rPr>
          <w:rFonts w:eastAsiaTheme="minorEastAsia"/>
        </w:rPr>
        <w:t>:</w:t>
      </w:r>
      <w:r w:rsidRPr="1F6F06D5">
        <w:rPr>
          <w:rFonts w:eastAsiaTheme="minorEastAsia"/>
          <w:i/>
          <w:iCs/>
        </w:rPr>
        <w:t xml:space="preserve"> </w:t>
      </w:r>
      <w:hyperlink r:id="rId34">
        <w:r w:rsidRPr="1F6F06D5">
          <w:rPr>
            <w:rStyle w:val="Hyperlink"/>
            <w:rFonts w:eastAsiaTheme="minorEastAsia"/>
          </w:rPr>
          <w:t>https://eur-lex.europa.eu/eli/dir/2005/36/oj</w:t>
        </w:r>
      </w:hyperlink>
    </w:p>
    <w:p w14:paraId="46E45E2B" w14:textId="065435ED" w:rsidR="2AFCA4F9" w:rsidRDefault="0E7F39BD" w:rsidP="009849C5">
      <w:pPr>
        <w:pStyle w:val="ListParagraph"/>
        <w:numPr>
          <w:ilvl w:val="0"/>
          <w:numId w:val="4"/>
        </w:numPr>
        <w:ind w:left="0"/>
        <w:jc w:val="both"/>
        <w:rPr>
          <w:rFonts w:eastAsiaTheme="minorEastAsia"/>
        </w:rPr>
      </w:pPr>
      <w:r w:rsidRPr="1F6F06D5">
        <w:rPr>
          <w:rFonts w:eastAsiaTheme="minorEastAsia"/>
        </w:rPr>
        <w:t>European Union (2019). “Council Recommendation of 22 May 2019 on High-Quality Early Childhood Education and Care Systems”. 2019/C 189/02. Available at</w:t>
      </w:r>
      <w:r w:rsidR="743B8546" w:rsidRPr="1F6F06D5">
        <w:rPr>
          <w:rFonts w:eastAsiaTheme="minorEastAsia"/>
        </w:rPr>
        <w:t>:</w:t>
      </w:r>
      <w:r w:rsidRPr="1F6F06D5">
        <w:rPr>
          <w:rFonts w:eastAsiaTheme="minorEastAsia"/>
        </w:rPr>
        <w:t xml:space="preserve"> </w:t>
      </w:r>
      <w:hyperlink r:id="rId35">
        <w:r w:rsidRPr="1F6F06D5">
          <w:rPr>
            <w:rStyle w:val="Hyperlink"/>
            <w:rFonts w:eastAsiaTheme="minorEastAsia"/>
          </w:rPr>
          <w:t>https://eur-lex.europa.eu/legal-content/EN/TXT/PDF/?uri=CELEX:32019H0605(01</w:t>
        </w:r>
        <w:r w:rsidR="67D0B265" w:rsidRPr="1F6F06D5">
          <w:rPr>
            <w:rStyle w:val="Hyperlink"/>
            <w:rFonts w:eastAsiaTheme="minorEastAsia"/>
          </w:rPr>
          <w:t>)</w:t>
        </w:r>
      </w:hyperlink>
    </w:p>
    <w:p w14:paraId="16097F81" w14:textId="191BC46E" w:rsidR="6799BAC3" w:rsidRDefault="52E49CDC" w:rsidP="009849C5">
      <w:pPr>
        <w:pStyle w:val="ListParagraph"/>
        <w:numPr>
          <w:ilvl w:val="0"/>
          <w:numId w:val="4"/>
        </w:numPr>
        <w:ind w:left="0"/>
        <w:jc w:val="both"/>
        <w:rPr>
          <w:rFonts w:eastAsiaTheme="minorEastAsia"/>
        </w:rPr>
      </w:pPr>
      <w:r w:rsidRPr="1F6F06D5">
        <w:rPr>
          <w:rFonts w:eastAsiaTheme="minorEastAsia"/>
        </w:rPr>
        <w:t>European Union (2022). “Council Recommendation of 8 December 2022 on access to affordable high-quality long-term care”. 2022/C 476/01. Available at</w:t>
      </w:r>
      <w:r w:rsidR="63D66F5C" w:rsidRPr="1F6F06D5">
        <w:rPr>
          <w:rFonts w:eastAsiaTheme="minorEastAsia"/>
        </w:rPr>
        <w:t>:</w:t>
      </w:r>
      <w:r w:rsidRPr="1F6F06D5">
        <w:rPr>
          <w:rFonts w:eastAsiaTheme="minorEastAsia"/>
        </w:rPr>
        <w:t xml:space="preserve"> </w:t>
      </w:r>
      <w:hyperlink r:id="rId36">
        <w:r w:rsidRPr="1F6F06D5">
          <w:rPr>
            <w:rStyle w:val="Hyperlink"/>
            <w:rFonts w:eastAsiaTheme="minorEastAsia"/>
          </w:rPr>
          <w:t>https://eur-lex.europa.eu/legal-content/EN/TXT/PDF/?uri=CELEX:32022H1215(01</w:t>
        </w:r>
        <w:r w:rsidR="3D26C926" w:rsidRPr="1F6F06D5">
          <w:rPr>
            <w:rStyle w:val="Hyperlink"/>
            <w:rFonts w:eastAsiaTheme="minorEastAsia"/>
          </w:rPr>
          <w:t>)</w:t>
        </w:r>
      </w:hyperlink>
    </w:p>
    <w:p w14:paraId="35F0C70C" w14:textId="65A763A0" w:rsidR="00187E5D" w:rsidRPr="00DE434C" w:rsidRDefault="6ABD5474" w:rsidP="009849C5">
      <w:pPr>
        <w:pStyle w:val="ListParagraph"/>
        <w:numPr>
          <w:ilvl w:val="0"/>
          <w:numId w:val="4"/>
        </w:numPr>
        <w:ind w:left="0"/>
        <w:jc w:val="both"/>
      </w:pPr>
      <w:r>
        <w:t xml:space="preserve">Failla G. et al. (2023). “Impact of the COVID pandemic on mental health and training opportunities of Public Health </w:t>
      </w:r>
      <w:r w:rsidR="381A47C9">
        <w:t>Residents from 4 European countries: a cross-sectional study”.</w:t>
      </w:r>
      <w:r w:rsidR="3D6483C0">
        <w:t xml:space="preserve"> </w:t>
      </w:r>
      <w:r w:rsidR="01EFF5EC" w:rsidRPr="1F6F06D5">
        <w:rPr>
          <w:i/>
          <w:iCs/>
        </w:rPr>
        <w:t xml:space="preserve">Front Public </w:t>
      </w:r>
      <w:r w:rsidR="01EFF5EC" w:rsidRPr="002A34BB">
        <w:rPr>
          <w:i/>
          <w:iCs/>
        </w:rPr>
        <w:t>Health</w:t>
      </w:r>
      <w:r w:rsidR="01EFF5EC">
        <w:t xml:space="preserve">. 11. </w:t>
      </w:r>
      <w:r w:rsidR="3D6483C0">
        <w:t>Available at</w:t>
      </w:r>
      <w:r w:rsidR="7F8B6434">
        <w:t>:</w:t>
      </w:r>
      <w:r w:rsidR="3D6483C0">
        <w:t xml:space="preserve"> </w:t>
      </w:r>
      <w:hyperlink r:id="rId37">
        <w:r w:rsidR="239BFB9D" w:rsidRPr="1F6F06D5">
          <w:rPr>
            <w:rStyle w:val="Hyperlink"/>
          </w:rPr>
          <w:t>https://www.ncbi.nlm.nih.gov/pmc/articles/PMC10028077/</w:t>
        </w:r>
      </w:hyperlink>
      <w:r w:rsidR="239BFB9D">
        <w:t xml:space="preserve"> </w:t>
      </w:r>
    </w:p>
    <w:p w14:paraId="16B4E550" w14:textId="29161559" w:rsidR="00DF4FFD" w:rsidRPr="008A6539" w:rsidRDefault="4BBDFA32" w:rsidP="009849C5">
      <w:pPr>
        <w:pStyle w:val="ListParagraph"/>
        <w:numPr>
          <w:ilvl w:val="0"/>
          <w:numId w:val="4"/>
        </w:numPr>
        <w:ind w:left="0"/>
        <w:jc w:val="both"/>
        <w:rPr>
          <w:lang w:val="en-US"/>
        </w:rPr>
      </w:pPr>
      <w:r w:rsidRPr="1F6F06D5">
        <w:rPr>
          <w:lang w:val="en-US"/>
        </w:rPr>
        <w:t>Gopinathan</w:t>
      </w:r>
      <w:r w:rsidR="270DC5E2" w:rsidRPr="1F6F06D5">
        <w:rPr>
          <w:lang w:val="en-US"/>
        </w:rPr>
        <w:t xml:space="preserve"> </w:t>
      </w:r>
      <w:r w:rsidRPr="1F6F06D5">
        <w:rPr>
          <w:lang w:val="en-US"/>
        </w:rPr>
        <w:t>U</w:t>
      </w:r>
      <w:r w:rsidR="398ADE46" w:rsidRPr="1F6F06D5">
        <w:rPr>
          <w:lang w:val="en-US"/>
        </w:rPr>
        <w:t>.</w:t>
      </w:r>
      <w:r w:rsidRPr="1F6F06D5">
        <w:rPr>
          <w:lang w:val="en-US"/>
        </w:rPr>
        <w:t xml:space="preserve"> et al. </w:t>
      </w:r>
      <w:r w:rsidR="708E0B19" w:rsidRPr="1F6F06D5">
        <w:rPr>
          <w:lang w:val="en-US"/>
        </w:rPr>
        <w:t>(2015). “</w:t>
      </w:r>
      <w:r>
        <w:t>Conceptual and institutional gaps: understanding how the WHO can become a more effective cross-sectoral collaborator</w:t>
      </w:r>
      <w:r w:rsidR="04DB9213">
        <w:t>”</w:t>
      </w:r>
      <w:r>
        <w:t xml:space="preserve">. </w:t>
      </w:r>
      <w:r w:rsidRPr="1F6F06D5">
        <w:rPr>
          <w:i/>
          <w:iCs/>
        </w:rPr>
        <w:t xml:space="preserve">Globalization and </w:t>
      </w:r>
      <w:r w:rsidR="5C85ADF6" w:rsidRPr="1F6F06D5">
        <w:rPr>
          <w:i/>
          <w:iCs/>
        </w:rPr>
        <w:t>H</w:t>
      </w:r>
      <w:r w:rsidRPr="1F6F06D5">
        <w:rPr>
          <w:i/>
          <w:iCs/>
        </w:rPr>
        <w:t>ealth</w:t>
      </w:r>
      <w:r w:rsidR="4268C65B" w:rsidRPr="1F6F06D5">
        <w:rPr>
          <w:i/>
          <w:iCs/>
        </w:rPr>
        <w:t>.</w:t>
      </w:r>
      <w:r>
        <w:t xml:space="preserve"> 11</w:t>
      </w:r>
      <w:r w:rsidR="4CC70705">
        <w:t>(</w:t>
      </w:r>
      <w:r w:rsidR="70ACAF6E">
        <w:t>46</w:t>
      </w:r>
      <w:r w:rsidR="254CF789">
        <w:t>)</w:t>
      </w:r>
      <w:r w:rsidR="1089757A" w:rsidRPr="1F6F06D5">
        <w:rPr>
          <w:lang w:val="en-US"/>
        </w:rPr>
        <w:t>. Available at</w:t>
      </w:r>
      <w:r w:rsidR="2D250673" w:rsidRPr="1F6F06D5">
        <w:rPr>
          <w:lang w:val="en-US"/>
        </w:rPr>
        <w:t>:</w:t>
      </w:r>
      <w:r w:rsidR="1089757A" w:rsidRPr="1F6F06D5">
        <w:rPr>
          <w:lang w:val="en-US"/>
        </w:rPr>
        <w:t xml:space="preserve"> </w:t>
      </w:r>
      <w:hyperlink r:id="rId38">
        <w:r w:rsidR="1089757A" w:rsidRPr="1F6F06D5">
          <w:rPr>
            <w:rStyle w:val="Hyperlink"/>
            <w:lang w:val="en-US"/>
          </w:rPr>
          <w:t>https://globalizationandhealth.biomedcentral.com/articles/10.1186/s12992-015-0128-6</w:t>
        </w:r>
      </w:hyperlink>
      <w:r w:rsidR="1089757A" w:rsidRPr="1F6F06D5">
        <w:rPr>
          <w:lang w:val="en-US"/>
        </w:rPr>
        <w:t xml:space="preserve"> </w:t>
      </w:r>
    </w:p>
    <w:p w14:paraId="27EE6FEF" w14:textId="76E9AA10" w:rsidR="420991A6" w:rsidRDefault="4A17057B" w:rsidP="009849C5">
      <w:pPr>
        <w:pStyle w:val="ListParagraph"/>
        <w:numPr>
          <w:ilvl w:val="0"/>
          <w:numId w:val="4"/>
        </w:numPr>
        <w:ind w:left="0"/>
        <w:jc w:val="both"/>
        <w:rPr>
          <w:color w:val="0563C1"/>
          <w:u w:val="single"/>
          <w:lang w:val="en-US"/>
        </w:rPr>
      </w:pPr>
      <w:r w:rsidRPr="1F6F06D5">
        <w:rPr>
          <w:lang w:val="en-US"/>
        </w:rPr>
        <w:t>Joint Action HEROES (2024). Available at</w:t>
      </w:r>
      <w:r w:rsidR="4247D444" w:rsidRPr="1F6F06D5">
        <w:rPr>
          <w:lang w:val="en-US"/>
        </w:rPr>
        <w:t>:</w:t>
      </w:r>
      <w:r w:rsidRPr="1F6F06D5">
        <w:rPr>
          <w:lang w:val="en-US"/>
        </w:rPr>
        <w:t xml:space="preserve"> </w:t>
      </w:r>
      <w:hyperlink r:id="rId39">
        <w:r w:rsidRPr="1F6F06D5">
          <w:rPr>
            <w:rStyle w:val="Hyperlink"/>
            <w:lang w:val="en-US"/>
          </w:rPr>
          <w:t>https://healthworkforce.eu/</w:t>
        </w:r>
      </w:hyperlink>
    </w:p>
    <w:p w14:paraId="1A7F3A28" w14:textId="12E39B1C" w:rsidR="0074672C" w:rsidRPr="0074672C" w:rsidRDefault="56EBB832" w:rsidP="009849C5">
      <w:pPr>
        <w:pStyle w:val="ListParagraph"/>
        <w:numPr>
          <w:ilvl w:val="0"/>
          <w:numId w:val="4"/>
        </w:numPr>
        <w:ind w:left="0"/>
        <w:jc w:val="both"/>
        <w:rPr>
          <w:rStyle w:val="Hyperlink"/>
          <w:rFonts w:ascii="Calibri" w:eastAsia="Calibri" w:hAnsi="Calibri" w:cs="Calibri"/>
          <w:color w:val="000000" w:themeColor="text1"/>
          <w:u w:val="none"/>
        </w:rPr>
      </w:pPr>
      <w:r w:rsidRPr="1F6F06D5">
        <w:rPr>
          <w:rFonts w:eastAsiaTheme="minorEastAsia"/>
        </w:rPr>
        <w:t xml:space="preserve">Lauterbach K. (2023). “Ensuring the availability of a sufficient health and care workforce with the right skills”, </w:t>
      </w:r>
      <w:r w:rsidRPr="1F6F06D5">
        <w:rPr>
          <w:rFonts w:eastAsiaTheme="minorEastAsia"/>
          <w:i/>
          <w:iCs/>
        </w:rPr>
        <w:t>Eurohealth</w:t>
      </w:r>
      <w:r w:rsidRPr="1F6F06D5">
        <w:rPr>
          <w:rFonts w:eastAsiaTheme="minorEastAsia"/>
        </w:rPr>
        <w:t xml:space="preserve">, 29(3). </w:t>
      </w:r>
      <w:r w:rsidRPr="1F6F06D5">
        <w:rPr>
          <w:rFonts w:eastAsiaTheme="minorEastAsia"/>
          <w:lang w:val="en-US"/>
        </w:rPr>
        <w:t>Available at</w:t>
      </w:r>
      <w:r w:rsidR="0024BFDD" w:rsidRPr="1F6F06D5">
        <w:rPr>
          <w:rFonts w:eastAsiaTheme="minorEastAsia"/>
          <w:lang w:val="en-US"/>
        </w:rPr>
        <w:t>:</w:t>
      </w:r>
      <w:r w:rsidRPr="1F6F06D5">
        <w:rPr>
          <w:rFonts w:eastAsiaTheme="minorEastAsia"/>
          <w:lang w:val="en-US"/>
        </w:rPr>
        <w:t xml:space="preserve"> </w:t>
      </w:r>
      <w:hyperlink r:id="rId40">
        <w:r w:rsidRPr="1F6F06D5">
          <w:rPr>
            <w:rStyle w:val="Hyperlink"/>
            <w:rFonts w:eastAsiaTheme="minorEastAsia"/>
            <w:lang w:val="en-US"/>
          </w:rPr>
          <w:t>https://eurohealthobservatory.who.int/publications/i/a-europe-that-cares-prepares-protects-strengthening-the-eu-health-union-(eurohealth)</w:t>
        </w:r>
      </w:hyperlink>
    </w:p>
    <w:p w14:paraId="29DDFB08" w14:textId="19DB3837" w:rsidR="41790EFF" w:rsidRDefault="3AAF9156" w:rsidP="009849C5">
      <w:pPr>
        <w:pStyle w:val="ListParagraph"/>
        <w:numPr>
          <w:ilvl w:val="0"/>
          <w:numId w:val="4"/>
        </w:numPr>
        <w:ind w:left="0"/>
        <w:jc w:val="both"/>
        <w:rPr>
          <w:rFonts w:eastAsiaTheme="minorEastAsia"/>
        </w:rPr>
      </w:pPr>
      <w:r w:rsidRPr="1F6F06D5">
        <w:rPr>
          <w:rFonts w:eastAsiaTheme="minorEastAsia"/>
          <w:lang w:val="fr-BE"/>
        </w:rPr>
        <w:t xml:space="preserve">Ministère du Travail, de la Santé et des Solidarités (2024). “L’infirmier en pratique avancée. Améliorer l’accès aux soins en diversifiant l’activité des soignants”. </w:t>
      </w:r>
      <w:r w:rsidRPr="1F6F06D5">
        <w:rPr>
          <w:rFonts w:eastAsiaTheme="minorEastAsia"/>
        </w:rPr>
        <w:t>Available at</w:t>
      </w:r>
      <w:r w:rsidR="67F439DA" w:rsidRPr="1F6F06D5">
        <w:rPr>
          <w:rFonts w:eastAsiaTheme="minorEastAsia"/>
        </w:rPr>
        <w:t>:</w:t>
      </w:r>
      <w:r w:rsidRPr="1F6F06D5">
        <w:rPr>
          <w:rFonts w:eastAsiaTheme="minorEastAsia"/>
        </w:rPr>
        <w:t xml:space="preserve"> </w:t>
      </w:r>
      <w:hyperlink r:id="rId41">
        <w:r w:rsidRPr="1F6F06D5">
          <w:rPr>
            <w:rStyle w:val="Hyperlink"/>
            <w:rFonts w:eastAsiaTheme="minorEastAsia"/>
          </w:rPr>
          <w:t>https://sante.gouv.fr/systeme-de-sante/acces-territorial-aux-soins/article/l-infirmier-en-pratique-avancee</w:t>
        </w:r>
      </w:hyperlink>
    </w:p>
    <w:p w14:paraId="62442EB4" w14:textId="218E9498" w:rsidR="14F8EC51" w:rsidRPr="0068433A" w:rsidRDefault="56EBB832" w:rsidP="009849C5">
      <w:pPr>
        <w:pStyle w:val="ListParagraph"/>
        <w:numPr>
          <w:ilvl w:val="0"/>
          <w:numId w:val="4"/>
        </w:numPr>
        <w:ind w:left="0"/>
        <w:jc w:val="both"/>
        <w:rPr>
          <w:rFonts w:ascii="Calibri" w:eastAsia="Calibri" w:hAnsi="Calibri" w:cs="Calibri"/>
          <w:color w:val="000000" w:themeColor="text1"/>
        </w:rPr>
      </w:pPr>
      <w:r w:rsidRPr="1F6F06D5">
        <w:rPr>
          <w:rFonts w:ascii="Calibri" w:eastAsia="Calibri" w:hAnsi="Calibri" w:cs="Calibri"/>
          <w:color w:val="000000" w:themeColor="text1"/>
          <w:lang w:val="en-US"/>
        </w:rPr>
        <w:t xml:space="preserve">Morgan </w:t>
      </w:r>
      <w:r w:rsidR="4B1F48B0" w:rsidRPr="1F6F06D5">
        <w:rPr>
          <w:rFonts w:ascii="Calibri" w:eastAsia="Calibri" w:hAnsi="Calibri" w:cs="Calibri"/>
          <w:color w:val="000000" w:themeColor="text1"/>
          <w:lang w:val="en-US"/>
        </w:rPr>
        <w:t xml:space="preserve">R. </w:t>
      </w:r>
      <w:r w:rsidRPr="1F6F06D5">
        <w:rPr>
          <w:rFonts w:ascii="Calibri" w:eastAsia="Calibri" w:hAnsi="Calibri" w:cs="Calibri"/>
          <w:color w:val="000000" w:themeColor="text1"/>
          <w:lang w:val="en-US"/>
        </w:rPr>
        <w:t xml:space="preserve">et al. </w:t>
      </w:r>
      <w:r w:rsidRPr="1F6F06D5">
        <w:rPr>
          <w:rFonts w:ascii="Calibri" w:eastAsia="Calibri" w:hAnsi="Calibri" w:cs="Calibri"/>
          <w:color w:val="000000" w:themeColor="text1"/>
        </w:rPr>
        <w:t xml:space="preserve">(2022). “Women healthcare workers’ experiences during COVID-19 and other crises: A scoping review”, </w:t>
      </w:r>
      <w:r w:rsidRPr="1F6F06D5">
        <w:rPr>
          <w:rFonts w:ascii="Calibri" w:eastAsia="Calibri" w:hAnsi="Calibri" w:cs="Calibri"/>
          <w:i/>
          <w:iCs/>
          <w:color w:val="000000" w:themeColor="text1"/>
        </w:rPr>
        <w:t>International Journal of Nursing Studies Advances</w:t>
      </w:r>
      <w:r w:rsidRPr="1F6F06D5">
        <w:rPr>
          <w:rFonts w:ascii="Calibri" w:eastAsia="Calibri" w:hAnsi="Calibri" w:cs="Calibri"/>
          <w:color w:val="000000" w:themeColor="text1"/>
        </w:rPr>
        <w:t>, 4. Available at</w:t>
      </w:r>
      <w:r w:rsidR="36FCD6E8" w:rsidRPr="1F6F06D5">
        <w:rPr>
          <w:rFonts w:ascii="Calibri" w:eastAsia="Calibri" w:hAnsi="Calibri" w:cs="Calibri"/>
          <w:color w:val="000000" w:themeColor="text1"/>
        </w:rPr>
        <w:t>:</w:t>
      </w:r>
      <w:r w:rsidRPr="1F6F06D5">
        <w:rPr>
          <w:rFonts w:ascii="Calibri" w:eastAsia="Calibri" w:hAnsi="Calibri" w:cs="Calibri"/>
          <w:color w:val="000000" w:themeColor="text1"/>
        </w:rPr>
        <w:t xml:space="preserve"> </w:t>
      </w:r>
      <w:hyperlink r:id="rId42">
        <w:r w:rsidRPr="1F6F06D5">
          <w:rPr>
            <w:rStyle w:val="Hyperlink"/>
            <w:rFonts w:ascii="Calibri" w:eastAsia="Calibri" w:hAnsi="Calibri" w:cs="Calibri"/>
          </w:rPr>
          <w:t>https://doi.org/10.1016/j.ijnsa.2022.100066</w:t>
        </w:r>
      </w:hyperlink>
      <w:r w:rsidRPr="1F6F06D5">
        <w:rPr>
          <w:rFonts w:ascii="Calibri" w:eastAsia="Calibri" w:hAnsi="Calibri" w:cs="Calibri"/>
          <w:color w:val="000000" w:themeColor="text1"/>
        </w:rPr>
        <w:t>.</w:t>
      </w:r>
    </w:p>
    <w:p w14:paraId="6E4CCF11" w14:textId="40DBB0FD" w:rsidR="009E4DA4" w:rsidRPr="009E4DA4" w:rsidRDefault="009E4DA4" w:rsidP="009849C5">
      <w:pPr>
        <w:pStyle w:val="ListParagraph"/>
        <w:numPr>
          <w:ilvl w:val="0"/>
          <w:numId w:val="4"/>
        </w:numPr>
        <w:ind w:left="0"/>
        <w:jc w:val="both"/>
        <w:rPr>
          <w:lang w:val="en-US"/>
        </w:rPr>
      </w:pPr>
      <w:r w:rsidRPr="009E4DA4">
        <w:t>Schobel</w:t>
      </w:r>
      <w:r>
        <w:t>, D.</w:t>
      </w:r>
      <w:r w:rsidRPr="009E4DA4">
        <w:t xml:space="preserve"> (2023). “All countries have workforce issues”. </w:t>
      </w:r>
      <w:r w:rsidRPr="009E4DA4">
        <w:rPr>
          <w:rFonts w:ascii="Calibri" w:eastAsia="Calibri" w:hAnsi="Calibri" w:cs="Calibri"/>
          <w:i/>
          <w:iCs/>
          <w:color w:val="000000" w:themeColor="text1"/>
        </w:rPr>
        <w:t>Healthy Europe</w:t>
      </w:r>
      <w:r w:rsidRPr="009E4DA4">
        <w:rPr>
          <w:rFonts w:ascii="Calibri" w:eastAsia="Calibri" w:hAnsi="Calibri" w:cs="Calibri"/>
          <w:color w:val="000000" w:themeColor="text1"/>
        </w:rPr>
        <w:t xml:space="preserve">. Available at: </w:t>
      </w:r>
      <w:hyperlink r:id="rId43" w:history="1">
        <w:r w:rsidRPr="009E4DA4">
          <w:rPr>
            <w:rStyle w:val="Hyperlink"/>
            <w:rFonts w:ascii="Calibri" w:eastAsia="Calibri" w:hAnsi="Calibri" w:cs="Calibri"/>
          </w:rPr>
          <w:t>https://www.healthyeurope.info/all-countries-have-workforce-issues/</w:t>
        </w:r>
      </w:hyperlink>
    </w:p>
    <w:p w14:paraId="4E81C225" w14:textId="1D71119F" w:rsidR="008A6539" w:rsidRPr="008A6539" w:rsidRDefault="1089757A" w:rsidP="009849C5">
      <w:pPr>
        <w:pStyle w:val="ListParagraph"/>
        <w:numPr>
          <w:ilvl w:val="0"/>
          <w:numId w:val="4"/>
        </w:numPr>
        <w:ind w:left="0"/>
        <w:jc w:val="both"/>
        <w:rPr>
          <w:lang w:val="en-US"/>
        </w:rPr>
      </w:pPr>
      <w:r>
        <w:t>Sorensen</w:t>
      </w:r>
      <w:r w:rsidR="44029D89">
        <w:t xml:space="preserve"> J.</w:t>
      </w:r>
      <w:r>
        <w:t xml:space="preserve"> et al. (2019). Need for ensuring cultural competence in medical programmes of European universities. </w:t>
      </w:r>
      <w:r w:rsidRPr="002A34BB">
        <w:rPr>
          <w:i/>
          <w:iCs/>
        </w:rPr>
        <w:t>BMC Medical Education</w:t>
      </w:r>
      <w:r w:rsidR="54D1D789" w:rsidRPr="1F6F06D5">
        <w:rPr>
          <w:i/>
          <w:iCs/>
        </w:rPr>
        <w:t>.</w:t>
      </w:r>
      <w:r>
        <w:t xml:space="preserve"> 19:21. </w:t>
      </w:r>
      <w:r w:rsidRPr="1F6F06D5">
        <w:rPr>
          <w:lang w:val="en-US"/>
        </w:rPr>
        <w:t>Available at</w:t>
      </w:r>
      <w:r w:rsidR="07B0237B" w:rsidRPr="1F6F06D5">
        <w:rPr>
          <w:lang w:val="en-US"/>
        </w:rPr>
        <w:t>:</w:t>
      </w:r>
      <w:r w:rsidRPr="1F6F06D5">
        <w:rPr>
          <w:lang w:val="en-US"/>
        </w:rPr>
        <w:t xml:space="preserve"> </w:t>
      </w:r>
      <w:hyperlink r:id="rId44">
        <w:r w:rsidRPr="1F6F06D5">
          <w:rPr>
            <w:rStyle w:val="Hyperlink"/>
            <w:lang w:val="en-US"/>
          </w:rPr>
          <w:t>https://www.ncbi.nlm.nih.gov/pmc/articles/PMC6332889/</w:t>
        </w:r>
      </w:hyperlink>
      <w:r w:rsidRPr="1F6F06D5">
        <w:rPr>
          <w:lang w:val="en-US"/>
        </w:rPr>
        <w:t xml:space="preserve"> </w:t>
      </w:r>
    </w:p>
    <w:p w14:paraId="63E5B017" w14:textId="429AA05D" w:rsidR="3B85AD6E" w:rsidRDefault="460AD7E3" w:rsidP="009849C5">
      <w:pPr>
        <w:pStyle w:val="ListParagraph"/>
        <w:numPr>
          <w:ilvl w:val="0"/>
          <w:numId w:val="4"/>
        </w:numPr>
        <w:ind w:left="0"/>
        <w:jc w:val="both"/>
      </w:pPr>
      <w:r>
        <w:t>United Nations Network on Migration (2024). "Triple Win Programme”. Available at</w:t>
      </w:r>
      <w:r w:rsidR="5839E91B">
        <w:t>:</w:t>
      </w:r>
      <w:r>
        <w:t xml:space="preserve"> </w:t>
      </w:r>
      <w:hyperlink r:id="rId45">
        <w:r w:rsidRPr="1F6F06D5">
          <w:rPr>
            <w:rStyle w:val="Hyperlink"/>
          </w:rPr>
          <w:t>https://migrationnetwork.un.org/projects/triple-win-programme</w:t>
        </w:r>
      </w:hyperlink>
    </w:p>
    <w:p w14:paraId="5E3FF504" w14:textId="4D2B27EA" w:rsidR="00FE2E09" w:rsidRPr="00FE2E09" w:rsidRDefault="00FE2E09" w:rsidP="009849C5">
      <w:pPr>
        <w:pStyle w:val="ListParagraph"/>
        <w:numPr>
          <w:ilvl w:val="0"/>
          <w:numId w:val="4"/>
        </w:numPr>
        <w:ind w:left="0"/>
        <w:jc w:val="both"/>
        <w:rPr>
          <w:rFonts w:eastAsiaTheme="minorEastAsia" w:cstheme="minorHAnsi"/>
        </w:rPr>
      </w:pPr>
      <w:proofErr w:type="spellStart"/>
      <w:r>
        <w:rPr>
          <w:rFonts w:eastAsiaTheme="minorEastAsia" w:cstheme="minorHAnsi"/>
        </w:rPr>
        <w:t>Verpleegkindig</w:t>
      </w:r>
      <w:proofErr w:type="spellEnd"/>
      <w:r>
        <w:rPr>
          <w:rFonts w:eastAsiaTheme="minorEastAsia" w:cstheme="minorHAnsi"/>
        </w:rPr>
        <w:t xml:space="preserve"> </w:t>
      </w:r>
      <w:proofErr w:type="spellStart"/>
      <w:r>
        <w:rPr>
          <w:rFonts w:eastAsiaTheme="minorEastAsia" w:cstheme="minorHAnsi"/>
        </w:rPr>
        <w:t>Specialisten</w:t>
      </w:r>
      <w:proofErr w:type="spellEnd"/>
      <w:r>
        <w:rPr>
          <w:rFonts w:eastAsiaTheme="minorEastAsia" w:cstheme="minorHAnsi"/>
        </w:rPr>
        <w:t xml:space="preserve"> (2018). “Working together with the nurse practitioner”. Available at: </w:t>
      </w:r>
      <w:hyperlink r:id="rId46" w:history="1">
        <w:r w:rsidRPr="008F204D">
          <w:rPr>
            <w:rStyle w:val="Hyperlink"/>
            <w:rFonts w:eastAsiaTheme="minorEastAsia" w:cstheme="minorHAnsi"/>
          </w:rPr>
          <w:t>https://cstor.eu/venvnvs/2018/07/2018-07-17-Factsheet-VS-ENG.pdf</w:t>
        </w:r>
      </w:hyperlink>
      <w:r>
        <w:rPr>
          <w:rFonts w:eastAsiaTheme="minorEastAsia" w:cstheme="minorHAnsi"/>
        </w:rPr>
        <w:t xml:space="preserve"> </w:t>
      </w:r>
    </w:p>
    <w:p w14:paraId="5BC40FC6" w14:textId="0B9DF8B3" w:rsidR="00220FA2" w:rsidRPr="00220FA2" w:rsidRDefault="00220FA2" w:rsidP="009849C5">
      <w:pPr>
        <w:pStyle w:val="ListParagraph"/>
        <w:numPr>
          <w:ilvl w:val="0"/>
          <w:numId w:val="4"/>
        </w:numPr>
        <w:ind w:left="0"/>
        <w:jc w:val="both"/>
        <w:rPr>
          <w:rFonts w:eastAsiaTheme="minorEastAsia" w:cstheme="minorHAnsi"/>
        </w:rPr>
      </w:pPr>
      <w:r>
        <w:t xml:space="preserve">Wemos (2023). “Infographic: where are Europe’s health workers going?” Available at: </w:t>
      </w:r>
      <w:hyperlink r:id="rId47" w:history="1">
        <w:r w:rsidRPr="00E50DCB">
          <w:rPr>
            <w:rStyle w:val="Hyperlink"/>
          </w:rPr>
          <w:t>https://www.wemos.org/en/infographic-where-are-europes-health-workers-going/</w:t>
        </w:r>
      </w:hyperlink>
    </w:p>
    <w:p w14:paraId="110BC454" w14:textId="5BD470B9" w:rsidR="0068433A" w:rsidRPr="00AA159A" w:rsidRDefault="56EBB832" w:rsidP="009849C5">
      <w:pPr>
        <w:pStyle w:val="ListParagraph"/>
        <w:numPr>
          <w:ilvl w:val="0"/>
          <w:numId w:val="4"/>
        </w:numPr>
        <w:ind w:left="0"/>
        <w:jc w:val="both"/>
        <w:rPr>
          <w:rFonts w:eastAsiaTheme="minorEastAsia"/>
        </w:rPr>
      </w:pPr>
      <w:r w:rsidRPr="1F6F06D5">
        <w:rPr>
          <w:rFonts w:eastAsiaTheme="minorEastAsia"/>
        </w:rPr>
        <w:t xml:space="preserve">Wismar M. and Goffin T. (2023). “Tackling the health workforce crisis: towards a European health workforce strategy”, </w:t>
      </w:r>
      <w:r w:rsidRPr="1F6F06D5">
        <w:rPr>
          <w:rFonts w:eastAsiaTheme="minorEastAsia"/>
          <w:i/>
          <w:iCs/>
        </w:rPr>
        <w:t>Eurohealth</w:t>
      </w:r>
      <w:r w:rsidRPr="1F6F06D5">
        <w:rPr>
          <w:rFonts w:eastAsiaTheme="minorEastAsia"/>
        </w:rPr>
        <w:t>, 29(3). Available at</w:t>
      </w:r>
      <w:r w:rsidR="6AF1E9A5" w:rsidRPr="1F6F06D5">
        <w:rPr>
          <w:rFonts w:eastAsiaTheme="minorEastAsia"/>
        </w:rPr>
        <w:t>:</w:t>
      </w:r>
      <w:r w:rsidRPr="1F6F06D5">
        <w:rPr>
          <w:rFonts w:eastAsiaTheme="minorEastAsia"/>
        </w:rPr>
        <w:t xml:space="preserve"> </w:t>
      </w:r>
      <w:hyperlink r:id="rId48">
        <w:r w:rsidRPr="1F6F06D5">
          <w:rPr>
            <w:rStyle w:val="Hyperlink"/>
            <w:rFonts w:eastAsiaTheme="minorEastAsia"/>
          </w:rPr>
          <w:t>https://eurohealthobservatory.who.int/publications/i/a-europe-that-cares-prepares-protects-strengthening-the-eu-health-union-(eurohealth</w:t>
        </w:r>
      </w:hyperlink>
      <w:r w:rsidRPr="1F6F06D5">
        <w:rPr>
          <w:rFonts w:eastAsiaTheme="minorEastAsia"/>
        </w:rPr>
        <w:t>).</w:t>
      </w:r>
    </w:p>
    <w:p w14:paraId="0C4ABC9A" w14:textId="4DD6506F" w:rsidR="00255BD5" w:rsidRPr="00D63ECB" w:rsidRDefault="3D528BE7" w:rsidP="009849C5">
      <w:pPr>
        <w:pStyle w:val="ListParagraph"/>
        <w:numPr>
          <w:ilvl w:val="0"/>
          <w:numId w:val="4"/>
        </w:numPr>
        <w:ind w:left="0"/>
        <w:jc w:val="both"/>
        <w:rPr>
          <w:rFonts w:ascii="Calibri" w:eastAsia="Calibri" w:hAnsi="Calibri" w:cs="Calibri"/>
          <w:color w:val="000000" w:themeColor="text1"/>
        </w:rPr>
      </w:pPr>
      <w:r w:rsidRPr="1F6F06D5">
        <w:rPr>
          <w:rFonts w:ascii="Calibri" w:eastAsia="Calibri" w:hAnsi="Calibri" w:cs="Calibri"/>
          <w:color w:val="000000" w:themeColor="text1"/>
        </w:rPr>
        <w:t>Women in Global Health (2023), “The Great Resignation: Why Women Health Workers Are Leaving”. Available at</w:t>
      </w:r>
      <w:r w:rsidR="339C78E7" w:rsidRPr="1F6F06D5">
        <w:rPr>
          <w:rFonts w:ascii="Calibri" w:eastAsia="Calibri" w:hAnsi="Calibri" w:cs="Calibri"/>
          <w:color w:val="000000" w:themeColor="text1"/>
        </w:rPr>
        <w:t>:</w:t>
      </w:r>
      <w:r w:rsidRPr="1F6F06D5">
        <w:rPr>
          <w:rFonts w:ascii="Calibri" w:eastAsia="Calibri" w:hAnsi="Calibri" w:cs="Calibri"/>
          <w:color w:val="000000" w:themeColor="text1"/>
        </w:rPr>
        <w:t xml:space="preserve"> </w:t>
      </w:r>
      <w:hyperlink r:id="rId49">
        <w:r w:rsidRPr="1F6F06D5">
          <w:rPr>
            <w:rStyle w:val="Hyperlink"/>
            <w:rFonts w:ascii="Calibri" w:eastAsia="Calibri" w:hAnsi="Calibri" w:cs="Calibri"/>
          </w:rPr>
          <w:t>https://womeningh.org/great-resignation/</w:t>
        </w:r>
      </w:hyperlink>
      <w:r w:rsidRPr="1F6F06D5">
        <w:rPr>
          <w:rFonts w:ascii="Calibri" w:eastAsia="Calibri" w:hAnsi="Calibri" w:cs="Calibri"/>
          <w:color w:val="000000" w:themeColor="text1"/>
        </w:rPr>
        <w:t>.</w:t>
      </w:r>
    </w:p>
    <w:p w14:paraId="39C932FB" w14:textId="27D3F812" w:rsidR="008A6539" w:rsidRPr="008A6539" w:rsidRDefault="1089757A" w:rsidP="009849C5">
      <w:pPr>
        <w:pStyle w:val="ListParagraph"/>
        <w:numPr>
          <w:ilvl w:val="0"/>
          <w:numId w:val="4"/>
        </w:numPr>
        <w:ind w:left="0"/>
        <w:jc w:val="both"/>
        <w:rPr>
          <w:rStyle w:val="Hyperlink"/>
          <w:color w:val="auto"/>
          <w:u w:val="none"/>
          <w:lang w:val="en-US"/>
        </w:rPr>
      </w:pPr>
      <w:r w:rsidRPr="1F6F06D5">
        <w:rPr>
          <w:rFonts w:eastAsia="system-ui"/>
          <w:color w:val="000000" w:themeColor="text1"/>
        </w:rPr>
        <w:t xml:space="preserve">World Economic Forum. (2024). “Global risks report 2024”. </w:t>
      </w:r>
      <w:r w:rsidRPr="1F6F06D5">
        <w:rPr>
          <w:rFonts w:eastAsia="system-ui"/>
          <w:color w:val="000000" w:themeColor="text1"/>
          <w:lang w:val="en-US"/>
        </w:rPr>
        <w:t>Available at</w:t>
      </w:r>
      <w:r w:rsidR="67E2FF52" w:rsidRPr="1F6F06D5">
        <w:rPr>
          <w:rFonts w:eastAsia="system-ui"/>
          <w:color w:val="000000" w:themeColor="text1"/>
          <w:lang w:val="en-US"/>
        </w:rPr>
        <w:t>:</w:t>
      </w:r>
      <w:r w:rsidRPr="1F6F06D5">
        <w:rPr>
          <w:rFonts w:eastAsia="system-ui"/>
          <w:color w:val="000000" w:themeColor="text1"/>
          <w:lang w:val="en-US"/>
        </w:rPr>
        <w:t xml:space="preserve"> </w:t>
      </w:r>
      <w:hyperlink r:id="rId50">
        <w:r w:rsidRPr="1F6F06D5">
          <w:rPr>
            <w:rStyle w:val="Hyperlink"/>
            <w:rFonts w:eastAsia="system-ui"/>
            <w:lang w:val="en-US"/>
          </w:rPr>
          <w:t>https://www.weforum.org/publications/global-risks-report-2024/</w:t>
        </w:r>
      </w:hyperlink>
    </w:p>
    <w:p w14:paraId="091D7FF4" w14:textId="7D6827D0" w:rsidR="00D5381B" w:rsidRPr="00AA159A" w:rsidRDefault="6A81DA21" w:rsidP="009849C5">
      <w:pPr>
        <w:pStyle w:val="ListParagraph"/>
        <w:numPr>
          <w:ilvl w:val="0"/>
          <w:numId w:val="4"/>
        </w:numPr>
        <w:ind w:left="0"/>
        <w:jc w:val="both"/>
        <w:rPr>
          <w:rStyle w:val="FootnoteReference"/>
          <w:rFonts w:eastAsiaTheme="minorEastAsia"/>
          <w:b/>
          <w:bCs/>
          <w:color w:val="0563C1" w:themeColor="hyperlink"/>
          <w:u w:val="single"/>
          <w:vertAlign w:val="baseline"/>
        </w:rPr>
      </w:pPr>
      <w:r>
        <w:t>World Health Organization (2010)</w:t>
      </w:r>
      <w:r w:rsidR="20F9B4B1">
        <w:t>. “</w:t>
      </w:r>
      <w:r>
        <w:t>WHO Global Code of Practice on the International Recruitment of Health Personnel”</w:t>
      </w:r>
      <w:r w:rsidR="20F9B4B1">
        <w:t>. A</w:t>
      </w:r>
      <w:r>
        <w:t>vailable at</w:t>
      </w:r>
      <w:r w:rsidR="71CD5CAA">
        <w:t>:</w:t>
      </w:r>
      <w:r>
        <w:t xml:space="preserve"> </w:t>
      </w:r>
      <w:hyperlink r:id="rId51">
        <w:r w:rsidRPr="1F6F06D5">
          <w:rPr>
            <w:rStyle w:val="Hyperlink"/>
          </w:rPr>
          <w:t>https://apps.who.int/gb/ebwha/pdf_files/WHA63/A63_R16-en.pdf</w:t>
        </w:r>
      </w:hyperlink>
      <w:r>
        <w:t>.</w:t>
      </w:r>
    </w:p>
    <w:p w14:paraId="4BC4886E" w14:textId="593623CD" w:rsidR="0AB00A08" w:rsidRPr="000D0067" w:rsidRDefault="348A729B" w:rsidP="009849C5">
      <w:pPr>
        <w:pStyle w:val="ListParagraph"/>
        <w:numPr>
          <w:ilvl w:val="0"/>
          <w:numId w:val="4"/>
        </w:numPr>
        <w:ind w:left="0"/>
        <w:jc w:val="both"/>
        <w:rPr>
          <w:rFonts w:ascii="Calibri" w:eastAsia="Calibri" w:hAnsi="Calibri" w:cs="Calibri"/>
          <w:color w:val="000000" w:themeColor="text1"/>
        </w:rPr>
      </w:pPr>
      <w:r w:rsidRPr="1F6F06D5">
        <w:rPr>
          <w:rFonts w:ascii="Calibri" w:eastAsia="Calibri" w:hAnsi="Calibri" w:cs="Calibri"/>
          <w:color w:val="000000" w:themeColor="text1"/>
        </w:rPr>
        <w:t>World Health Organization (2019)</w:t>
      </w:r>
      <w:r w:rsidR="1BA47ADA" w:rsidRPr="1F6F06D5">
        <w:rPr>
          <w:rFonts w:ascii="Calibri" w:eastAsia="Calibri" w:hAnsi="Calibri" w:cs="Calibri"/>
          <w:color w:val="000000" w:themeColor="text1"/>
        </w:rPr>
        <w:t>.</w:t>
      </w:r>
      <w:r w:rsidRPr="1F6F06D5">
        <w:rPr>
          <w:rFonts w:ascii="Calibri" w:eastAsia="Calibri" w:hAnsi="Calibri" w:cs="Calibri"/>
          <w:color w:val="000000" w:themeColor="text1"/>
        </w:rPr>
        <w:t xml:space="preserve"> “Delivered by women, led by men: A gender and equity analysis of the global health and social workforce”</w:t>
      </w:r>
      <w:r w:rsidR="44419091" w:rsidRPr="1F6F06D5">
        <w:rPr>
          <w:rFonts w:ascii="Calibri" w:eastAsia="Calibri" w:hAnsi="Calibri" w:cs="Calibri"/>
          <w:color w:val="000000" w:themeColor="text1"/>
        </w:rPr>
        <w:t>. A</w:t>
      </w:r>
      <w:r w:rsidRPr="1F6F06D5">
        <w:rPr>
          <w:rFonts w:ascii="Calibri" w:eastAsia="Calibri" w:hAnsi="Calibri" w:cs="Calibri"/>
          <w:color w:val="000000" w:themeColor="text1"/>
        </w:rPr>
        <w:t>vailable at</w:t>
      </w:r>
      <w:r w:rsidR="51FA4936" w:rsidRPr="1F6F06D5">
        <w:rPr>
          <w:rFonts w:ascii="Calibri" w:eastAsia="Calibri" w:hAnsi="Calibri" w:cs="Calibri"/>
          <w:color w:val="000000" w:themeColor="text1"/>
        </w:rPr>
        <w:t>:</w:t>
      </w:r>
      <w:r w:rsidRPr="1F6F06D5">
        <w:rPr>
          <w:rFonts w:ascii="Calibri" w:eastAsia="Calibri" w:hAnsi="Calibri" w:cs="Calibri"/>
          <w:color w:val="000000" w:themeColor="text1"/>
        </w:rPr>
        <w:t xml:space="preserve"> </w:t>
      </w:r>
      <w:hyperlink r:id="rId52">
        <w:r w:rsidRPr="1F6F06D5">
          <w:rPr>
            <w:rStyle w:val="Hyperlink"/>
            <w:rFonts w:ascii="Calibri" w:eastAsia="Calibri" w:hAnsi="Calibri" w:cs="Calibri"/>
          </w:rPr>
          <w:t>https://www.who.int/publications/i/item/9789241515467</w:t>
        </w:r>
      </w:hyperlink>
      <w:r w:rsidRPr="1F6F06D5">
        <w:rPr>
          <w:rFonts w:ascii="Calibri" w:eastAsia="Calibri" w:hAnsi="Calibri" w:cs="Calibri"/>
          <w:color w:val="000000" w:themeColor="text1"/>
        </w:rPr>
        <w:t>.</w:t>
      </w:r>
    </w:p>
    <w:p w14:paraId="54D9E0BF" w14:textId="7098446A" w:rsidR="0D7A0839" w:rsidRDefault="497B3DE2" w:rsidP="009849C5">
      <w:pPr>
        <w:pStyle w:val="ListParagraph"/>
        <w:numPr>
          <w:ilvl w:val="0"/>
          <w:numId w:val="4"/>
        </w:numPr>
        <w:ind w:left="0"/>
        <w:jc w:val="both"/>
        <w:rPr>
          <w:rFonts w:ascii="Calibri" w:eastAsia="Calibri" w:hAnsi="Calibri" w:cs="Calibri"/>
          <w:color w:val="000000" w:themeColor="text1"/>
        </w:rPr>
      </w:pPr>
      <w:r w:rsidRPr="1F6F06D5">
        <w:rPr>
          <w:rFonts w:ascii="Calibri" w:eastAsia="Calibri" w:hAnsi="Calibri" w:cs="Calibri"/>
          <w:color w:val="000000" w:themeColor="text1"/>
        </w:rPr>
        <w:t>World Health Organization and International Labour Organization (2022)</w:t>
      </w:r>
      <w:r w:rsidR="3F590DD2" w:rsidRPr="1F6F06D5">
        <w:rPr>
          <w:rFonts w:ascii="Calibri" w:eastAsia="Calibri" w:hAnsi="Calibri" w:cs="Calibri"/>
          <w:color w:val="000000" w:themeColor="text1"/>
        </w:rPr>
        <w:t xml:space="preserve">. </w:t>
      </w:r>
      <w:r w:rsidRPr="1F6F06D5">
        <w:rPr>
          <w:rFonts w:ascii="Calibri" w:eastAsia="Calibri" w:hAnsi="Calibri" w:cs="Calibri"/>
          <w:color w:val="000000" w:themeColor="text1"/>
        </w:rPr>
        <w:t>“The gender pay gap in the health and care sector. A global analysis in the time of COVID-19"</w:t>
      </w:r>
      <w:r w:rsidR="3F590DD2" w:rsidRPr="1F6F06D5">
        <w:rPr>
          <w:rFonts w:ascii="Calibri" w:eastAsia="Calibri" w:hAnsi="Calibri" w:cs="Calibri"/>
          <w:color w:val="000000" w:themeColor="text1"/>
        </w:rPr>
        <w:t>. A</w:t>
      </w:r>
      <w:r w:rsidRPr="1F6F06D5">
        <w:rPr>
          <w:rFonts w:ascii="Calibri" w:eastAsia="Calibri" w:hAnsi="Calibri" w:cs="Calibri"/>
          <w:color w:val="000000" w:themeColor="text1"/>
        </w:rPr>
        <w:t>vailable at</w:t>
      </w:r>
      <w:r w:rsidR="21A01A68" w:rsidRPr="1F6F06D5">
        <w:rPr>
          <w:rFonts w:ascii="Calibri" w:eastAsia="Calibri" w:hAnsi="Calibri" w:cs="Calibri"/>
          <w:color w:val="000000" w:themeColor="text1"/>
        </w:rPr>
        <w:t>:</w:t>
      </w:r>
      <w:r w:rsidRPr="1F6F06D5">
        <w:rPr>
          <w:rFonts w:ascii="Calibri" w:eastAsia="Calibri" w:hAnsi="Calibri" w:cs="Calibri"/>
          <w:color w:val="000000" w:themeColor="text1"/>
        </w:rPr>
        <w:t xml:space="preserve"> </w:t>
      </w:r>
      <w:hyperlink r:id="rId53">
        <w:r w:rsidRPr="1F6F06D5">
          <w:rPr>
            <w:rStyle w:val="Hyperlink"/>
            <w:rFonts w:ascii="Calibri" w:eastAsia="Calibri" w:hAnsi="Calibri" w:cs="Calibri"/>
          </w:rPr>
          <w:t>https://www.who.int/publications/i/item/9789240052895</w:t>
        </w:r>
      </w:hyperlink>
      <w:r w:rsidRPr="1F6F06D5">
        <w:rPr>
          <w:rFonts w:ascii="Calibri" w:eastAsia="Calibri" w:hAnsi="Calibri" w:cs="Calibri"/>
          <w:color w:val="000000" w:themeColor="text1"/>
        </w:rPr>
        <w:t>.</w:t>
      </w:r>
    </w:p>
    <w:p w14:paraId="7818BC4C" w14:textId="4FA39EAF" w:rsidR="2DD3ABFB" w:rsidRDefault="17950CB1" w:rsidP="009849C5">
      <w:pPr>
        <w:pStyle w:val="ListParagraph"/>
        <w:numPr>
          <w:ilvl w:val="0"/>
          <w:numId w:val="4"/>
        </w:numPr>
        <w:ind w:left="0"/>
        <w:jc w:val="both"/>
      </w:pPr>
      <w:r w:rsidRPr="1F6F06D5">
        <w:rPr>
          <w:rFonts w:eastAsiaTheme="minorEastAsia"/>
        </w:rPr>
        <w:t>World Health Organization Regional Office for Europe (2017). “Report of the Sixth Ministerial Conference on Environment and Health. Ostrava, Czech Republic 13–15 June 2017”. Available at</w:t>
      </w:r>
      <w:r w:rsidR="3429E8C3" w:rsidRPr="1F6F06D5">
        <w:rPr>
          <w:rFonts w:eastAsiaTheme="minorEastAsia"/>
        </w:rPr>
        <w:t>:</w:t>
      </w:r>
      <w:r w:rsidRPr="1F6F06D5">
        <w:rPr>
          <w:rFonts w:eastAsiaTheme="minorEastAsia"/>
        </w:rPr>
        <w:t xml:space="preserve"> </w:t>
      </w:r>
      <w:hyperlink r:id="rId54">
        <w:r w:rsidRPr="1F6F06D5">
          <w:rPr>
            <w:rStyle w:val="Hyperlink"/>
            <w:rFonts w:eastAsiaTheme="minorEastAsia"/>
          </w:rPr>
          <w:t>https://iris.who.int/bitstream/handle/10665/346131/WHO-EURO-2017-3008-42766-59662-eng.pdf?sequence=2</w:t>
        </w:r>
      </w:hyperlink>
    </w:p>
    <w:p w14:paraId="27ACAE93" w14:textId="2022B952" w:rsidR="00A51C75" w:rsidRPr="00A51C75" w:rsidRDefault="1D5A3A7F" w:rsidP="009849C5">
      <w:pPr>
        <w:pStyle w:val="ListParagraph"/>
        <w:numPr>
          <w:ilvl w:val="0"/>
          <w:numId w:val="4"/>
        </w:numPr>
        <w:ind w:left="0"/>
        <w:jc w:val="both"/>
        <w:rPr>
          <w:rStyle w:val="Hyperlink"/>
          <w:rFonts w:eastAsiaTheme="minorEastAsia"/>
          <w:color w:val="auto"/>
          <w:u w:val="none"/>
        </w:rPr>
      </w:pPr>
      <w:r w:rsidRPr="1F6F06D5">
        <w:rPr>
          <w:rFonts w:eastAsiaTheme="minorEastAsia"/>
        </w:rPr>
        <w:t xml:space="preserve">World Health Organization Regional Office for Europe (2022). </w:t>
      </w:r>
      <w:r w:rsidRPr="1F6F06D5">
        <w:rPr>
          <w:rFonts w:eastAsiaTheme="minorEastAsia"/>
          <w:i/>
          <w:iCs/>
        </w:rPr>
        <w:t>Health and care workforce in Europe: time to act.</w:t>
      </w:r>
      <w:r w:rsidRPr="1F6F06D5">
        <w:rPr>
          <w:rFonts w:eastAsiaTheme="minorEastAsia"/>
          <w:b/>
          <w:bCs/>
        </w:rPr>
        <w:t xml:space="preserve"> </w:t>
      </w:r>
      <w:r w:rsidRPr="1F6F06D5">
        <w:rPr>
          <w:rFonts w:eastAsiaTheme="minorEastAsia"/>
        </w:rPr>
        <w:t>Copenhagen: WHO Regional Office for Europe. Available at</w:t>
      </w:r>
      <w:r w:rsidR="2878B31A" w:rsidRPr="1F6F06D5">
        <w:rPr>
          <w:rFonts w:eastAsiaTheme="minorEastAsia"/>
        </w:rPr>
        <w:t>:</w:t>
      </w:r>
      <w:r w:rsidRPr="1F6F06D5">
        <w:rPr>
          <w:rFonts w:eastAsiaTheme="minorEastAsia"/>
        </w:rPr>
        <w:t xml:space="preserve"> </w:t>
      </w:r>
      <w:hyperlink r:id="rId55">
        <w:r w:rsidRPr="1F6F06D5">
          <w:rPr>
            <w:rStyle w:val="Hyperlink"/>
            <w:rFonts w:eastAsiaTheme="minorEastAsia"/>
          </w:rPr>
          <w:t>https://www.who.int/europe/publications/i/item/9789289058339</w:t>
        </w:r>
      </w:hyperlink>
    </w:p>
    <w:p w14:paraId="706A4A0C" w14:textId="4D35E55B" w:rsidR="00A51C75" w:rsidRPr="00A51C75" w:rsidRDefault="00A51C75" w:rsidP="009849C5">
      <w:pPr>
        <w:pStyle w:val="ListParagraph"/>
        <w:numPr>
          <w:ilvl w:val="0"/>
          <w:numId w:val="4"/>
        </w:numPr>
        <w:ind w:left="0"/>
        <w:jc w:val="both"/>
        <w:rPr>
          <w:rFonts w:eastAsiaTheme="minorEastAsia"/>
        </w:rPr>
      </w:pPr>
      <w:r>
        <w:t xml:space="preserve">World Health Organisation (2023). Framework for action on the health and care workforce in the WHO European Region 2023-2030. Available at: </w:t>
      </w:r>
      <w:hyperlink r:id="rId56" w:history="1">
        <w:r w:rsidRPr="00E50DCB">
          <w:rPr>
            <w:rStyle w:val="Hyperlink"/>
          </w:rPr>
          <w:t>https://iris.who.int/handle/10665/372563</w:t>
        </w:r>
      </w:hyperlink>
      <w:r>
        <w:t xml:space="preserve"> </w:t>
      </w:r>
    </w:p>
    <w:p w14:paraId="1F31D31C" w14:textId="0E977427" w:rsidR="00F03F40" w:rsidRPr="00537771" w:rsidRDefault="56EBB832" w:rsidP="009849C5">
      <w:pPr>
        <w:pStyle w:val="ListParagraph"/>
        <w:numPr>
          <w:ilvl w:val="0"/>
          <w:numId w:val="4"/>
        </w:numPr>
        <w:ind w:left="0"/>
        <w:jc w:val="both"/>
      </w:pPr>
      <w:r>
        <w:t>Zapata T.</w:t>
      </w:r>
      <w:r w:rsidR="1701BE5B">
        <w:t xml:space="preserve"> et al. </w:t>
      </w:r>
      <w:r>
        <w:t>(2023). “From great attrition to great attraction: countering the great resignation of health and care workers”</w:t>
      </w:r>
      <w:r w:rsidR="7E507F43">
        <w:t>.</w:t>
      </w:r>
      <w:r>
        <w:t xml:space="preserve"> </w:t>
      </w:r>
      <w:r w:rsidRPr="1F6F06D5">
        <w:rPr>
          <w:i/>
          <w:iCs/>
        </w:rPr>
        <w:t>Eurohealth</w:t>
      </w:r>
      <w:r w:rsidR="69324233" w:rsidRPr="1F6F06D5">
        <w:rPr>
          <w:i/>
          <w:iCs/>
        </w:rPr>
        <w:t>.</w:t>
      </w:r>
      <w:r>
        <w:t xml:space="preserve"> 29(1). Available at</w:t>
      </w:r>
      <w:r w:rsidR="63B20FCC">
        <w:t>:</w:t>
      </w:r>
      <w:r>
        <w:t xml:space="preserve"> </w:t>
      </w:r>
      <w:hyperlink r:id="rId57">
        <w:r w:rsidRPr="1F6F06D5">
          <w:rPr>
            <w:rStyle w:val="Hyperlink"/>
          </w:rPr>
          <w:t>https://iris.who.int/bitstream/handle/10665/372887/Eurohealth-29-1-6-10-eng.pdf?sequence=1&amp;isAllowed=y</w:t>
        </w:r>
      </w:hyperlink>
      <w:r>
        <w:t xml:space="preserve"> </w:t>
      </w:r>
    </w:p>
    <w:sectPr w:rsidR="00F03F40" w:rsidRPr="00537771" w:rsidSect="005A09DF">
      <w:footerReference w:type="default" r:id="rId58"/>
      <w:pgSz w:w="11906" w:h="16838"/>
      <w:pgMar w:top="1276"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32BF7" w14:textId="77777777" w:rsidR="005A09DF" w:rsidRDefault="005A09DF" w:rsidP="00052F7A">
      <w:pPr>
        <w:spacing w:before="0" w:after="0" w:line="240" w:lineRule="auto"/>
      </w:pPr>
      <w:r>
        <w:separator/>
      </w:r>
    </w:p>
  </w:endnote>
  <w:endnote w:type="continuationSeparator" w:id="0">
    <w:p w14:paraId="0B85F090" w14:textId="77777777" w:rsidR="005A09DF" w:rsidRDefault="005A09DF" w:rsidP="00052F7A">
      <w:pPr>
        <w:spacing w:before="0" w:after="0" w:line="240" w:lineRule="auto"/>
      </w:pPr>
      <w:r>
        <w:continuationSeparator/>
      </w:r>
    </w:p>
  </w:endnote>
  <w:endnote w:type="continuationNotice" w:id="1">
    <w:p w14:paraId="0D8A9AA6" w14:textId="77777777" w:rsidR="005A09DF" w:rsidRDefault="005A09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Helvetica Neue">
    <w:altName w:val="Sylfaen"/>
    <w:panose1 w:val="00000000000000000000"/>
    <w:charset w:val="00"/>
    <w:family w:val="roman"/>
    <w:notTrueType/>
    <w:pitch w:val="default"/>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964622"/>
      <w:docPartObj>
        <w:docPartGallery w:val="Page Numbers (Bottom of Page)"/>
        <w:docPartUnique/>
      </w:docPartObj>
    </w:sdtPr>
    <w:sdtEndPr>
      <w:rPr>
        <w:noProof/>
      </w:rPr>
    </w:sdtEndPr>
    <w:sdtContent>
      <w:p w14:paraId="502DCCD9" w14:textId="7201857F" w:rsidR="00052F7A" w:rsidRDefault="00052F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0086BB" w14:textId="77777777" w:rsidR="00052F7A" w:rsidRDefault="00052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76404" w14:textId="77777777" w:rsidR="005A09DF" w:rsidRDefault="005A09DF" w:rsidP="00052F7A">
      <w:pPr>
        <w:spacing w:before="0" w:after="0" w:line="240" w:lineRule="auto"/>
      </w:pPr>
      <w:r>
        <w:separator/>
      </w:r>
    </w:p>
  </w:footnote>
  <w:footnote w:type="continuationSeparator" w:id="0">
    <w:p w14:paraId="295C474C" w14:textId="77777777" w:rsidR="005A09DF" w:rsidRDefault="005A09DF" w:rsidP="00052F7A">
      <w:pPr>
        <w:spacing w:before="0" w:after="0" w:line="240" w:lineRule="auto"/>
      </w:pPr>
      <w:r>
        <w:continuationSeparator/>
      </w:r>
    </w:p>
  </w:footnote>
  <w:footnote w:type="continuationNotice" w:id="1">
    <w:p w14:paraId="1C15D544" w14:textId="77777777" w:rsidR="005A09DF" w:rsidRDefault="005A09DF">
      <w:pPr>
        <w:spacing w:before="0" w:after="0" w:line="240" w:lineRule="auto"/>
      </w:pPr>
    </w:p>
  </w:footnote>
  <w:footnote w:id="2">
    <w:p w14:paraId="0A3FA27B" w14:textId="37E3D234" w:rsidR="5C98DA9E" w:rsidRDefault="5C98DA9E" w:rsidP="5C98DA9E">
      <w:pPr>
        <w:pStyle w:val="FootnoteText"/>
        <w:rPr>
          <w:rFonts w:ascii="Calibri" w:eastAsia="Calibri" w:hAnsi="Calibri" w:cs="Calibri"/>
          <w:color w:val="000000" w:themeColor="text1"/>
        </w:rPr>
      </w:pPr>
      <w:r w:rsidRPr="5C98DA9E">
        <w:rPr>
          <w:rStyle w:val="FootnoteReference"/>
        </w:rPr>
        <w:footnoteRef/>
      </w:r>
      <w:r>
        <w:t xml:space="preserve"> </w:t>
      </w:r>
      <w:r w:rsidRPr="5C98DA9E">
        <w:rPr>
          <w:rFonts w:ascii="Calibri" w:eastAsia="Calibri" w:hAnsi="Calibri" w:cs="Calibri"/>
          <w:color w:val="000000" w:themeColor="text1"/>
          <w:lang w:val="en-US"/>
        </w:rPr>
        <w:t xml:space="preserve">Bucharest Declaration on health and care workforce (2023). “High-level Regional Meeting on Health and Care Workforce in Europe: time to act”. Available at </w:t>
      </w:r>
      <w:hyperlink r:id="rId1">
        <w:r w:rsidRPr="5C98DA9E">
          <w:rPr>
            <w:rStyle w:val="Hyperlink"/>
            <w:rFonts w:ascii="Calibri" w:eastAsia="Calibri" w:hAnsi="Calibri" w:cs="Calibri"/>
            <w:lang w:val="en-US"/>
          </w:rPr>
          <w:t>https://www.who.int/europe/publications/i/item/bucharest-declaration</w:t>
        </w:r>
      </w:hyperlink>
      <w:r w:rsidRPr="5C98DA9E">
        <w:rPr>
          <w:rFonts w:ascii="Calibri" w:eastAsia="Calibri" w:hAnsi="Calibri" w:cs="Calibri"/>
          <w:color w:val="000000" w:themeColor="text1"/>
          <w:lang w:val="en-US"/>
        </w:rPr>
        <w:t xml:space="preserve"> </w:t>
      </w:r>
    </w:p>
  </w:footnote>
  <w:footnote w:id="3">
    <w:p w14:paraId="2FC13BA7" w14:textId="661FE7C1" w:rsidR="6CC4CDAC" w:rsidRPr="00537771" w:rsidRDefault="6CC4CDAC" w:rsidP="00E5757F">
      <w:pPr>
        <w:pStyle w:val="FootnoteText"/>
        <w:jc w:val="both"/>
        <w:rPr>
          <w:rFonts w:ascii="Calibri" w:eastAsia="Calibri" w:hAnsi="Calibri" w:cs="Calibri"/>
          <w:color w:val="000000" w:themeColor="text1"/>
        </w:rPr>
      </w:pPr>
      <w:r w:rsidRPr="00537771">
        <w:rPr>
          <w:rStyle w:val="FootnoteReference"/>
        </w:rPr>
        <w:footnoteRef/>
      </w:r>
      <w:r w:rsidRPr="00537771">
        <w:t xml:space="preserve"> </w:t>
      </w:r>
      <w:r w:rsidR="00D72562" w:rsidRPr="00537771">
        <w:rPr>
          <w:rFonts w:ascii="Calibri" w:eastAsia="Calibri" w:hAnsi="Calibri" w:cs="Calibri"/>
          <w:color w:val="000000" w:themeColor="text1"/>
          <w:lang w:val="en-US"/>
        </w:rPr>
        <w:t>Idem.</w:t>
      </w:r>
      <w:r w:rsidR="00D72562" w:rsidRPr="00537771">
        <w:rPr>
          <w:rFonts w:ascii="Calibri" w:eastAsia="Calibri" w:hAnsi="Calibri" w:cs="Calibri"/>
          <w:color w:val="000000" w:themeColor="text1"/>
        </w:rPr>
        <w:t xml:space="preserve"> </w:t>
      </w:r>
    </w:p>
  </w:footnote>
  <w:footnote w:id="4">
    <w:p w14:paraId="715F0B46" w14:textId="3DCB5872" w:rsidR="6CC4CDAC" w:rsidRPr="00537771" w:rsidRDefault="6CC4CDAC" w:rsidP="00E5757F">
      <w:pPr>
        <w:pStyle w:val="FootnoteText"/>
        <w:jc w:val="both"/>
        <w:rPr>
          <w:rFonts w:ascii="Calibri" w:eastAsia="Calibri" w:hAnsi="Calibri" w:cs="Calibri"/>
          <w:color w:val="000000" w:themeColor="text1"/>
        </w:rPr>
      </w:pPr>
      <w:r w:rsidRPr="00537771">
        <w:rPr>
          <w:rStyle w:val="FootnoteReference"/>
        </w:rPr>
        <w:footnoteRef/>
      </w:r>
      <w:r w:rsidRPr="00537771">
        <w:t xml:space="preserve"> </w:t>
      </w:r>
      <w:r w:rsidR="00130E0D" w:rsidRPr="00537771">
        <w:t>Schobel</w:t>
      </w:r>
      <w:r w:rsidR="009E4DA4" w:rsidRPr="00537771">
        <w:t>, D.</w:t>
      </w:r>
      <w:r w:rsidR="00130E0D" w:rsidRPr="00537771">
        <w:t xml:space="preserve"> (2023). “All countries have workforce issues”. </w:t>
      </w:r>
      <w:r w:rsidRPr="00537771">
        <w:rPr>
          <w:rFonts w:ascii="Calibri" w:eastAsia="Calibri" w:hAnsi="Calibri" w:cs="Calibri"/>
          <w:i/>
          <w:iCs/>
          <w:color w:val="000000" w:themeColor="text1"/>
        </w:rPr>
        <w:t>Healthy Europe</w:t>
      </w:r>
      <w:r w:rsidR="00130E0D" w:rsidRPr="00537771">
        <w:rPr>
          <w:rFonts w:ascii="Calibri" w:eastAsia="Calibri" w:hAnsi="Calibri" w:cs="Calibri"/>
          <w:color w:val="000000" w:themeColor="text1"/>
        </w:rPr>
        <w:t xml:space="preserve">. Available at: </w:t>
      </w:r>
      <w:hyperlink r:id="rId2" w:history="1">
        <w:r w:rsidR="009E4DA4" w:rsidRPr="00537771">
          <w:rPr>
            <w:rStyle w:val="Hyperlink"/>
            <w:rFonts w:ascii="Calibri" w:eastAsia="Calibri" w:hAnsi="Calibri" w:cs="Calibri"/>
          </w:rPr>
          <w:t>https://www.healthyeurope.info/all-countries-have-workforce-issues/</w:t>
        </w:r>
      </w:hyperlink>
      <w:r w:rsidR="009E4DA4" w:rsidRPr="00537771">
        <w:rPr>
          <w:rFonts w:ascii="Calibri" w:eastAsia="Calibri" w:hAnsi="Calibri" w:cs="Calibri"/>
          <w:color w:val="000000" w:themeColor="text1"/>
        </w:rPr>
        <w:t xml:space="preserve"> </w:t>
      </w:r>
    </w:p>
  </w:footnote>
  <w:footnote w:id="5">
    <w:p w14:paraId="19BD434F" w14:textId="0BAA96EE" w:rsidR="00547371" w:rsidRPr="00547371" w:rsidRDefault="00547371" w:rsidP="0024622A">
      <w:pPr>
        <w:pStyle w:val="FootnoteText"/>
        <w:jc w:val="both"/>
      </w:pPr>
      <w:r>
        <w:rPr>
          <w:rStyle w:val="FootnoteReference"/>
        </w:rPr>
        <w:footnoteRef/>
      </w:r>
      <w:r>
        <w:t xml:space="preserve"> </w:t>
      </w:r>
      <w:r w:rsidR="00C45F5B">
        <w:t>European Economic and Social Committee</w:t>
      </w:r>
      <w:r>
        <w:t xml:space="preserve"> (202</w:t>
      </w:r>
      <w:r w:rsidR="0024622A">
        <w:t>2</w:t>
      </w:r>
      <w:r>
        <w:t xml:space="preserve">). Opinion of the European Economic and Social Committee on Health Workforce and Care Strategy for the future of Europe. Available at: </w:t>
      </w:r>
      <w:hyperlink r:id="rId3" w:history="1">
        <w:r w:rsidR="0024622A" w:rsidRPr="00E50DCB">
          <w:rPr>
            <w:rStyle w:val="Hyperlink"/>
          </w:rPr>
          <w:t>https://eur-lex.europa.eu/legal-content/EN/TXT/PDF/?uri=CELEX:52022IE1513</w:t>
        </w:r>
      </w:hyperlink>
      <w:r w:rsidR="0024622A">
        <w:t xml:space="preserve"> </w:t>
      </w:r>
    </w:p>
  </w:footnote>
  <w:footnote w:id="6">
    <w:p w14:paraId="658BABF5" w14:textId="3CEC29F0" w:rsidR="004F6026" w:rsidRPr="004F6026" w:rsidRDefault="004F6026">
      <w:pPr>
        <w:pStyle w:val="FootnoteText"/>
      </w:pPr>
      <w:r>
        <w:rPr>
          <w:rStyle w:val="FootnoteReference"/>
        </w:rPr>
        <w:footnoteRef/>
      </w:r>
      <w:r>
        <w:t xml:space="preserve"> Idem.</w:t>
      </w:r>
    </w:p>
  </w:footnote>
  <w:footnote w:id="7">
    <w:p w14:paraId="18F81EEE" w14:textId="7787BD0E" w:rsidR="00E93219" w:rsidRPr="00E93219" w:rsidRDefault="00E93219" w:rsidP="00E93219">
      <w:pPr>
        <w:pStyle w:val="FootnoteText"/>
        <w:jc w:val="both"/>
      </w:pPr>
      <w:r>
        <w:rPr>
          <w:rStyle w:val="FootnoteReference"/>
        </w:rPr>
        <w:footnoteRef/>
      </w:r>
      <w:r>
        <w:t xml:space="preserve"> World Health Organisation (2023). Framework for action on the health and care workforce in the WHO European Region 2023-2030. Available at: </w:t>
      </w:r>
      <w:hyperlink r:id="rId4" w:history="1">
        <w:r w:rsidRPr="00E50DCB">
          <w:rPr>
            <w:rStyle w:val="Hyperlink"/>
          </w:rPr>
          <w:t>https://iris.who.int/handle/10665/372563</w:t>
        </w:r>
      </w:hyperlink>
      <w:r>
        <w:t xml:space="preserve"> </w:t>
      </w:r>
    </w:p>
  </w:footnote>
  <w:footnote w:id="8">
    <w:p w14:paraId="09ECC8AD" w14:textId="4AAF98B3" w:rsidR="006D74E8" w:rsidRPr="006D74E8" w:rsidRDefault="006D74E8" w:rsidP="00730CEF">
      <w:pPr>
        <w:spacing w:before="0" w:after="0"/>
        <w:jc w:val="both"/>
      </w:pPr>
      <w:r>
        <w:rPr>
          <w:rStyle w:val="FootnoteReference"/>
        </w:rPr>
        <w:footnoteRef/>
      </w:r>
      <w:r w:rsidR="1F6F06D5">
        <w:t xml:space="preserve">  </w:t>
      </w:r>
      <w:r w:rsidR="1F6F06D5" w:rsidRPr="00730CEF">
        <w:rPr>
          <w:rFonts w:eastAsiaTheme="minorEastAsia"/>
          <w:sz w:val="20"/>
          <w:szCs w:val="20"/>
        </w:rPr>
        <w:t xml:space="preserve">This joint paper was </w:t>
      </w:r>
      <w:r w:rsidR="657CC8F7" w:rsidRPr="00730CEF">
        <w:rPr>
          <w:rFonts w:eastAsiaTheme="minorEastAsia"/>
          <w:sz w:val="20"/>
          <w:szCs w:val="20"/>
        </w:rPr>
        <w:t>developed</w:t>
      </w:r>
      <w:r w:rsidR="1F6F06D5" w:rsidRPr="00730CEF">
        <w:rPr>
          <w:rFonts w:eastAsiaTheme="minorEastAsia"/>
          <w:sz w:val="20"/>
          <w:szCs w:val="20"/>
        </w:rPr>
        <w:t xml:space="preserve"> with the support of several public health organisations, which participated</w:t>
      </w:r>
      <w:r w:rsidR="00730CEF">
        <w:rPr>
          <w:rFonts w:eastAsiaTheme="minorEastAsia"/>
          <w:sz w:val="20"/>
          <w:szCs w:val="20"/>
        </w:rPr>
        <w:t xml:space="preserve"> </w:t>
      </w:r>
      <w:r w:rsidR="1F6F06D5" w:rsidRPr="00730CEF">
        <w:rPr>
          <w:rFonts w:eastAsiaTheme="minorEastAsia"/>
          <w:sz w:val="20"/>
          <w:szCs w:val="20"/>
        </w:rPr>
        <w:t xml:space="preserve">through written contributions, informal </w:t>
      </w:r>
      <w:proofErr w:type="gramStart"/>
      <w:r w:rsidR="1F6F06D5" w:rsidRPr="00730CEF">
        <w:rPr>
          <w:rFonts w:eastAsiaTheme="minorEastAsia"/>
          <w:sz w:val="20"/>
          <w:szCs w:val="20"/>
        </w:rPr>
        <w:t>discussions</w:t>
      </w:r>
      <w:proofErr w:type="gramEnd"/>
      <w:r w:rsidR="1F6F06D5" w:rsidRPr="00730CEF">
        <w:rPr>
          <w:rFonts w:eastAsiaTheme="minorEastAsia"/>
          <w:sz w:val="20"/>
          <w:szCs w:val="20"/>
        </w:rPr>
        <w:t xml:space="preserve"> and draft reviews. These are: </w:t>
      </w:r>
      <w:r w:rsidR="1F6F06D5" w:rsidRPr="00730CEF">
        <w:rPr>
          <w:sz w:val="20"/>
          <w:szCs w:val="20"/>
        </w:rPr>
        <w:t>Wemos, the European</w:t>
      </w:r>
      <w:r w:rsidR="00730CEF">
        <w:rPr>
          <w:sz w:val="20"/>
          <w:szCs w:val="20"/>
        </w:rPr>
        <w:t xml:space="preserve"> </w:t>
      </w:r>
      <w:r w:rsidR="1F6F06D5" w:rsidRPr="00730CEF">
        <w:rPr>
          <w:sz w:val="20"/>
          <w:szCs w:val="20"/>
        </w:rPr>
        <w:t>Association of Hospital Pharmacists (EAHP), the European Specialist Nurse Organisation (ESNO), the European</w:t>
      </w:r>
      <w:r w:rsidR="00730CEF">
        <w:rPr>
          <w:sz w:val="20"/>
          <w:szCs w:val="20"/>
        </w:rPr>
        <w:t xml:space="preserve"> </w:t>
      </w:r>
      <w:r w:rsidR="1F6F06D5" w:rsidRPr="00730CEF">
        <w:rPr>
          <w:sz w:val="20"/>
          <w:szCs w:val="20"/>
        </w:rPr>
        <w:t>Network of Medical Residents in Public Health (</w:t>
      </w:r>
      <w:proofErr w:type="spellStart"/>
      <w:r w:rsidR="1F6F06D5" w:rsidRPr="00730CEF">
        <w:rPr>
          <w:sz w:val="20"/>
          <w:szCs w:val="20"/>
        </w:rPr>
        <w:t>Euronet</w:t>
      </w:r>
      <w:proofErr w:type="spellEnd"/>
      <w:r w:rsidR="1F6F06D5" w:rsidRPr="00730CEF">
        <w:rPr>
          <w:sz w:val="20"/>
          <w:szCs w:val="20"/>
        </w:rPr>
        <w:t xml:space="preserve"> MRPH), the Royal College of Nursing (RCN), the European Pharmaceutical Students Association (EPSA), the Association of Schools of Public Health in the European Region (ASPHER), European Federation of Salaried Doctors (FEMS), European Association of Senior Hospital Physicians (AEMH), the International Federation of Medical Students Associations (IFMSA), International Federation of </w:t>
      </w:r>
      <w:proofErr w:type="spellStart"/>
      <w:r w:rsidR="1F6F06D5" w:rsidRPr="00730CEF">
        <w:rPr>
          <w:sz w:val="20"/>
          <w:szCs w:val="20"/>
        </w:rPr>
        <w:t>Anthroposophic</w:t>
      </w:r>
      <w:proofErr w:type="spellEnd"/>
      <w:r w:rsidR="1F6F06D5" w:rsidRPr="00730CEF">
        <w:rPr>
          <w:sz w:val="20"/>
          <w:szCs w:val="20"/>
        </w:rPr>
        <w:t xml:space="preserve"> Medical Associations (IVAA).</w:t>
      </w:r>
    </w:p>
  </w:footnote>
  <w:footnote w:id="9">
    <w:p w14:paraId="144021C8" w14:textId="10BFC13F" w:rsidR="00A54827" w:rsidRPr="003211B8" w:rsidRDefault="00A54827" w:rsidP="00E5757F">
      <w:pPr>
        <w:pStyle w:val="FootnoteText"/>
        <w:jc w:val="both"/>
      </w:pPr>
      <w:r w:rsidRPr="00537771">
        <w:rPr>
          <w:rStyle w:val="FootnoteReference"/>
        </w:rPr>
        <w:footnoteRef/>
      </w:r>
      <w:r w:rsidRPr="00537771">
        <w:t xml:space="preserve"> </w:t>
      </w:r>
      <w:r w:rsidR="004A748D" w:rsidRPr="00537771">
        <w:rPr>
          <w:rFonts w:cstheme="minorHAnsi"/>
        </w:rPr>
        <w:t>Belgian Presidency of the Council of the European Union (2024). “Programme – Belgian Presidency of the Council of the European Union – First half of 2024”. Available at:</w:t>
      </w:r>
      <w:r w:rsidR="00537771" w:rsidRPr="00537771">
        <w:rPr>
          <w:rFonts w:cstheme="minorHAnsi"/>
        </w:rPr>
        <w:t xml:space="preserve"> </w:t>
      </w:r>
      <w:hyperlink r:id="rId5" w:history="1">
        <w:r w:rsidR="00537771" w:rsidRPr="00537771">
          <w:rPr>
            <w:rStyle w:val="Hyperlink"/>
            <w:rFonts w:cstheme="minorHAnsi"/>
          </w:rPr>
          <w:t>https://belgian-presidency.consilium.europa.eu/media/3kajw1io/programme_en.pdf</w:t>
        </w:r>
      </w:hyperlink>
      <w:r w:rsidR="00537771">
        <w:rPr>
          <w:rFonts w:cstheme="minorHAnsi"/>
        </w:rPr>
        <w:t xml:space="preserve"> </w:t>
      </w:r>
    </w:p>
  </w:footnote>
  <w:footnote w:id="10">
    <w:p w14:paraId="04A7E7D2" w14:textId="7E1C13D5" w:rsidR="79E5DF2B" w:rsidRPr="00E5757F" w:rsidRDefault="79E5DF2B" w:rsidP="00E5757F">
      <w:pPr>
        <w:spacing w:before="0" w:after="0"/>
        <w:jc w:val="both"/>
        <w:rPr>
          <w:rFonts w:eastAsiaTheme="minorEastAsia"/>
          <w:sz w:val="20"/>
          <w:szCs w:val="20"/>
          <w:u w:val="single"/>
        </w:rPr>
      </w:pPr>
      <w:r w:rsidRPr="00E5757F">
        <w:rPr>
          <w:rStyle w:val="FootnoteReference"/>
          <w:sz w:val="20"/>
          <w:szCs w:val="20"/>
        </w:rPr>
        <w:footnoteRef/>
      </w:r>
      <w:r w:rsidRPr="00E5757F">
        <w:rPr>
          <w:sz w:val="20"/>
          <w:szCs w:val="20"/>
        </w:rPr>
        <w:t xml:space="preserve"> </w:t>
      </w:r>
      <w:r w:rsidR="004A3842" w:rsidRPr="00E5757F">
        <w:rPr>
          <w:rFonts w:eastAsia="Helvetica Neue"/>
          <w:sz w:val="20"/>
          <w:szCs w:val="20"/>
        </w:rPr>
        <w:t xml:space="preserve">European Commission (2023). “State of Health in the EU. Synthesis Report 2023”. Available at </w:t>
      </w:r>
      <w:hyperlink r:id="rId6" w:history="1">
        <w:r w:rsidR="004A3842" w:rsidRPr="00E5757F">
          <w:rPr>
            <w:rStyle w:val="Hyperlink"/>
            <w:rFonts w:eastAsia="Helvetica Neue"/>
            <w:sz w:val="20"/>
            <w:szCs w:val="20"/>
          </w:rPr>
          <w:t>https://health.ec.europa.eu/document/download/66d6601b-8a37-4d44-ae2b-3ba2f8f34f41_en?filename=state_2023_synthesis-report_en.pdf</w:t>
        </w:r>
      </w:hyperlink>
      <w:r w:rsidR="004A3842" w:rsidRPr="00E5757F">
        <w:rPr>
          <w:rFonts w:eastAsia="Helvetica Neue"/>
          <w:sz w:val="20"/>
          <w:szCs w:val="20"/>
        </w:rPr>
        <w:t>.</w:t>
      </w:r>
    </w:p>
  </w:footnote>
  <w:footnote w:id="11">
    <w:p w14:paraId="1A964CDE" w14:textId="3ABA5DAF" w:rsidR="79E5DF2B" w:rsidRPr="00E5757F" w:rsidRDefault="79E5DF2B" w:rsidP="00E5757F">
      <w:pPr>
        <w:pStyle w:val="FootnoteText"/>
        <w:jc w:val="both"/>
      </w:pPr>
      <w:r w:rsidRPr="00E5757F">
        <w:rPr>
          <w:rStyle w:val="FootnoteReference"/>
        </w:rPr>
        <w:footnoteRef/>
      </w:r>
      <w:r w:rsidRPr="00E5757F">
        <w:t xml:space="preserve"> </w:t>
      </w:r>
      <w:r w:rsidR="004A3842" w:rsidRPr="00E5757F">
        <w:rPr>
          <w:rFonts w:ascii="Calibri" w:eastAsia="Calibri" w:hAnsi="Calibri" w:cs="Calibri"/>
          <w:color w:val="000000" w:themeColor="text1"/>
          <w:lang w:val="en-US"/>
        </w:rPr>
        <w:t>Bucharest Declaration on health and care workforce (2023), op. cit.</w:t>
      </w:r>
    </w:p>
  </w:footnote>
  <w:footnote w:id="12">
    <w:p w14:paraId="1136527C" w14:textId="42332FA7" w:rsidR="79E5DF2B" w:rsidRPr="00E5757F" w:rsidRDefault="79E5DF2B" w:rsidP="00E5757F">
      <w:pPr>
        <w:pStyle w:val="FootnoteText"/>
        <w:jc w:val="both"/>
      </w:pPr>
      <w:r w:rsidRPr="00E5757F">
        <w:rPr>
          <w:rStyle w:val="FootnoteReference"/>
        </w:rPr>
        <w:footnoteRef/>
      </w:r>
      <w:r w:rsidR="2FB0C460" w:rsidRPr="00E5757F">
        <w:t xml:space="preserve"> Zapata T. et al. (2023). “From great attrition to great attraction: countering the great resignation of health and care workers”. Eurohealth. 29(1). Available at </w:t>
      </w:r>
      <w:hyperlink r:id="rId7" w:history="1">
        <w:r w:rsidR="2FB0C460" w:rsidRPr="00E5757F">
          <w:rPr>
            <w:rStyle w:val="Hyperlink"/>
          </w:rPr>
          <w:t>https://iris.who.int/bitstream/handle/10665/372887/Eurohealth-29-1-6-10-eng.pdf?sequence=1&amp;isAllowed=y</w:t>
        </w:r>
      </w:hyperlink>
      <w:r w:rsidR="2FB0C460" w:rsidRPr="00E5757F">
        <w:t xml:space="preserve"> </w:t>
      </w:r>
    </w:p>
  </w:footnote>
  <w:footnote w:id="13">
    <w:p w14:paraId="4F885B0A" w14:textId="4E9A8844" w:rsidR="00AC73FD" w:rsidRPr="00E5757F" w:rsidRDefault="00AC73FD" w:rsidP="00E5757F">
      <w:pPr>
        <w:pStyle w:val="FootnoteText"/>
        <w:jc w:val="both"/>
        <w:rPr>
          <w:lang w:val="fr-BE"/>
        </w:rPr>
      </w:pPr>
      <w:r w:rsidRPr="00E5757F">
        <w:rPr>
          <w:rStyle w:val="FootnoteReference"/>
        </w:rPr>
        <w:footnoteRef/>
      </w:r>
      <w:r w:rsidRPr="00E5757F">
        <w:rPr>
          <w:lang w:val="fr-BE"/>
        </w:rPr>
        <w:t xml:space="preserve"> </w:t>
      </w:r>
      <w:r w:rsidRPr="00E5757F">
        <w:rPr>
          <w:rFonts w:eastAsia="Helvetica Neue"/>
          <w:lang w:val="fr-BE"/>
        </w:rPr>
        <w:t xml:space="preserve">European Commission (2023), op. </w:t>
      </w:r>
      <w:proofErr w:type="spellStart"/>
      <w:proofErr w:type="gramStart"/>
      <w:r w:rsidRPr="00E5757F">
        <w:rPr>
          <w:rFonts w:eastAsia="Helvetica Neue"/>
          <w:lang w:val="fr-BE"/>
        </w:rPr>
        <w:t>cit</w:t>
      </w:r>
      <w:proofErr w:type="spellEnd"/>
      <w:proofErr w:type="gramEnd"/>
      <w:r w:rsidRPr="00E5757F">
        <w:rPr>
          <w:rFonts w:eastAsia="Helvetica Neue"/>
          <w:lang w:val="fr-BE"/>
        </w:rPr>
        <w:t>.</w:t>
      </w:r>
    </w:p>
  </w:footnote>
  <w:footnote w:id="14">
    <w:p w14:paraId="1E27CDB8" w14:textId="5DF8E021" w:rsidR="3CEA1630" w:rsidRPr="00E5757F" w:rsidRDefault="3CEA1630" w:rsidP="00E5757F">
      <w:pPr>
        <w:pStyle w:val="FootnoteText"/>
        <w:jc w:val="both"/>
      </w:pPr>
      <w:r w:rsidRPr="00E5757F">
        <w:rPr>
          <w:rStyle w:val="FootnoteReference"/>
        </w:rPr>
        <w:footnoteRef/>
      </w:r>
      <w:r w:rsidR="2FB0C460" w:rsidRPr="00E5757F">
        <w:rPr>
          <w:lang w:val="fr-BE"/>
        </w:rPr>
        <w:t xml:space="preserve"> Zapata T. et al. </w:t>
      </w:r>
      <w:r w:rsidR="2FB0C460" w:rsidRPr="00E5757F">
        <w:t>(2023), op. cit.</w:t>
      </w:r>
    </w:p>
  </w:footnote>
  <w:footnote w:id="15">
    <w:p w14:paraId="5DF84DB3" w14:textId="7F36C60A" w:rsidR="00927315" w:rsidRPr="00535D51" w:rsidRDefault="00927315" w:rsidP="00E5757F">
      <w:pPr>
        <w:pStyle w:val="FootnoteText"/>
        <w:jc w:val="both"/>
        <w:rPr>
          <w:lang w:val="fr-BE"/>
        </w:rPr>
      </w:pPr>
      <w:r w:rsidRPr="00E5757F">
        <w:rPr>
          <w:rStyle w:val="FootnoteReference"/>
        </w:rPr>
        <w:footnoteRef/>
      </w:r>
      <w:r w:rsidR="2FB0C460" w:rsidRPr="00E5757F">
        <w:t xml:space="preserve"> European Association of Hospital Pharmacists (EAHP) (2023). “EAHP Position Paper on the Hospital Pharmacy Workforce”. </w:t>
      </w:r>
      <w:proofErr w:type="spellStart"/>
      <w:r w:rsidR="2FB0C460" w:rsidRPr="00535D51">
        <w:rPr>
          <w:lang w:val="fr-BE"/>
        </w:rPr>
        <w:t>Available</w:t>
      </w:r>
      <w:proofErr w:type="spellEnd"/>
      <w:r w:rsidR="2FB0C460" w:rsidRPr="00535D51">
        <w:rPr>
          <w:lang w:val="fr-BE"/>
        </w:rPr>
        <w:t xml:space="preserve"> at </w:t>
      </w:r>
      <w:hyperlink r:id="rId8" w:history="1">
        <w:r w:rsidR="2FB0C460" w:rsidRPr="00535D51">
          <w:rPr>
            <w:rStyle w:val="Hyperlink"/>
            <w:lang w:val="fr-BE"/>
          </w:rPr>
          <w:t>https://www.eahp.eu/practice-and-policy/workforce</w:t>
        </w:r>
      </w:hyperlink>
      <w:r w:rsidR="2FB0C460" w:rsidRPr="00535D51">
        <w:rPr>
          <w:lang w:val="fr-BE"/>
        </w:rPr>
        <w:t xml:space="preserve"> </w:t>
      </w:r>
    </w:p>
  </w:footnote>
  <w:footnote w:id="16">
    <w:p w14:paraId="5BA7751B" w14:textId="0B0D701E" w:rsidR="00EB0658" w:rsidRPr="00660EF1" w:rsidRDefault="00EB0658" w:rsidP="00E5757F">
      <w:pPr>
        <w:spacing w:before="0" w:after="0"/>
        <w:jc w:val="both"/>
        <w:rPr>
          <w:rFonts w:eastAsiaTheme="minorEastAsia"/>
          <w:sz w:val="20"/>
          <w:szCs w:val="20"/>
          <w:lang w:val="en-US"/>
        </w:rPr>
      </w:pPr>
      <w:r w:rsidRPr="00E5757F">
        <w:rPr>
          <w:rStyle w:val="FootnoteReference"/>
          <w:sz w:val="20"/>
          <w:szCs w:val="20"/>
        </w:rPr>
        <w:footnoteRef/>
      </w:r>
      <w:r w:rsidR="2FB0C460" w:rsidRPr="00E5757F">
        <w:rPr>
          <w:sz w:val="20"/>
          <w:szCs w:val="20"/>
          <w:lang w:val="fr-BE"/>
        </w:rPr>
        <w:t xml:space="preserve"> </w:t>
      </w:r>
      <w:proofErr w:type="spellStart"/>
      <w:r w:rsidR="2FB0C460" w:rsidRPr="00E5757F">
        <w:rPr>
          <w:rFonts w:eastAsiaTheme="minorEastAsia"/>
          <w:sz w:val="20"/>
          <w:szCs w:val="20"/>
          <w:lang w:val="fr-BE"/>
        </w:rPr>
        <w:t>Azzopardi</w:t>
      </w:r>
      <w:proofErr w:type="spellEnd"/>
      <w:r w:rsidR="2FB0C460" w:rsidRPr="00E5757F">
        <w:rPr>
          <w:rFonts w:eastAsiaTheme="minorEastAsia"/>
          <w:sz w:val="20"/>
          <w:szCs w:val="20"/>
          <w:lang w:val="fr-BE"/>
        </w:rPr>
        <w:t xml:space="preserve">-Muscat N. et al. </w:t>
      </w:r>
      <w:r w:rsidR="2FB0C460" w:rsidRPr="00E5757F">
        <w:rPr>
          <w:rFonts w:eastAsiaTheme="minorEastAsia"/>
          <w:sz w:val="20"/>
          <w:szCs w:val="20"/>
        </w:rPr>
        <w:t xml:space="preserve">(2023). “Moving from health workforce crisis to health workforce success: the time to act is now”. </w:t>
      </w:r>
      <w:r w:rsidR="2FB0C460" w:rsidRPr="00E5757F">
        <w:rPr>
          <w:rFonts w:eastAsiaTheme="minorEastAsia"/>
          <w:i/>
          <w:iCs/>
          <w:sz w:val="20"/>
          <w:szCs w:val="20"/>
        </w:rPr>
        <w:t>The Lancet Regional Health</w:t>
      </w:r>
      <w:r w:rsidR="2FB0C460" w:rsidRPr="00E5757F">
        <w:rPr>
          <w:rFonts w:eastAsiaTheme="minorEastAsia"/>
          <w:sz w:val="20"/>
          <w:szCs w:val="20"/>
        </w:rPr>
        <w:t>. 35. Available at</w:t>
      </w:r>
      <w:r w:rsidR="00E5757F" w:rsidRPr="00E5757F">
        <w:rPr>
          <w:rFonts w:eastAsiaTheme="minorEastAsia"/>
          <w:sz w:val="20"/>
          <w:szCs w:val="20"/>
        </w:rPr>
        <w:t xml:space="preserve">: </w:t>
      </w:r>
      <w:r w:rsidR="2FB0C460" w:rsidRPr="00E5757F">
        <w:rPr>
          <w:rFonts w:eastAsiaTheme="minorEastAsia"/>
          <w:sz w:val="20"/>
          <w:szCs w:val="20"/>
        </w:rPr>
        <w:t xml:space="preserve"> </w:t>
      </w:r>
      <w:hyperlink r:id="rId9">
        <w:r w:rsidR="2FB0C460" w:rsidRPr="00E5757F">
          <w:rPr>
            <w:rStyle w:val="Hyperlink"/>
            <w:rFonts w:eastAsiaTheme="minorEastAsia"/>
            <w:sz w:val="20"/>
            <w:szCs w:val="20"/>
          </w:rPr>
          <w:t>https://www.thelancet.com/journals/lanepe/article/PIIS2666-7762(23)00184-9/fulltext</w:t>
        </w:r>
      </w:hyperlink>
    </w:p>
  </w:footnote>
  <w:footnote w:id="17">
    <w:p w14:paraId="3C3D2FD8" w14:textId="2AD2A492" w:rsidR="003B077E" w:rsidRPr="00E5757F" w:rsidRDefault="003B077E" w:rsidP="00E5757F">
      <w:pPr>
        <w:pStyle w:val="FootnoteText"/>
        <w:jc w:val="both"/>
        <w:rPr>
          <w:lang w:val="es-419"/>
        </w:rPr>
      </w:pPr>
      <w:r w:rsidRPr="00E5757F">
        <w:rPr>
          <w:rStyle w:val="FootnoteReference"/>
        </w:rPr>
        <w:footnoteRef/>
      </w:r>
      <w:r w:rsidR="2FB0C460" w:rsidRPr="00E5757F">
        <w:rPr>
          <w:lang w:val="es-419"/>
        </w:rPr>
        <w:t xml:space="preserve"> Zapata T. et al. (2023), </w:t>
      </w:r>
      <w:proofErr w:type="spellStart"/>
      <w:r w:rsidR="2FB0C460" w:rsidRPr="00E5757F">
        <w:rPr>
          <w:lang w:val="es-419"/>
        </w:rPr>
        <w:t>op</w:t>
      </w:r>
      <w:proofErr w:type="spellEnd"/>
      <w:r w:rsidR="2FB0C460" w:rsidRPr="00E5757F">
        <w:rPr>
          <w:lang w:val="es-419"/>
        </w:rPr>
        <w:t>. cit.</w:t>
      </w:r>
    </w:p>
  </w:footnote>
  <w:footnote w:id="18">
    <w:p w14:paraId="51754E56" w14:textId="6069363B" w:rsidR="7C424347" w:rsidRPr="00E5757F" w:rsidRDefault="7C424347" w:rsidP="00E5757F">
      <w:pPr>
        <w:spacing w:before="0" w:after="0"/>
        <w:jc w:val="both"/>
        <w:rPr>
          <w:rFonts w:eastAsiaTheme="minorEastAsia"/>
          <w:sz w:val="20"/>
          <w:szCs w:val="20"/>
          <w:highlight w:val="yellow"/>
        </w:rPr>
      </w:pPr>
      <w:r w:rsidRPr="00E5757F">
        <w:rPr>
          <w:rStyle w:val="FootnoteReference"/>
          <w:sz w:val="20"/>
          <w:szCs w:val="20"/>
        </w:rPr>
        <w:footnoteRef/>
      </w:r>
      <w:r w:rsidR="2FB0C460" w:rsidRPr="00E5757F">
        <w:rPr>
          <w:sz w:val="20"/>
          <w:szCs w:val="20"/>
        </w:rPr>
        <w:t xml:space="preserve"> </w:t>
      </w:r>
      <w:r w:rsidR="2FB0C460" w:rsidRPr="00E5757F">
        <w:rPr>
          <w:rFonts w:eastAsiaTheme="minorEastAsia"/>
          <w:sz w:val="20"/>
          <w:szCs w:val="20"/>
        </w:rPr>
        <w:t xml:space="preserve">European Observatory on Health Systems and Policies (2023a). “Briefing paper: Enhancing the labour market for health and care workers - Public debate on the future health priorities of the European Union”. Available at  </w:t>
      </w:r>
      <w:hyperlink r:id="rId10" w:history="1">
        <w:r w:rsidR="2FB0C460" w:rsidRPr="00E5757F">
          <w:rPr>
            <w:rStyle w:val="Hyperlink"/>
            <w:rFonts w:eastAsiaTheme="minorEastAsia"/>
            <w:sz w:val="20"/>
            <w:szCs w:val="20"/>
          </w:rPr>
          <w:t>https://eurohealthobservatory.who.int/publications/m/enhancing-the-labour-market-for-health-and-care-workers</w:t>
        </w:r>
      </w:hyperlink>
      <w:r w:rsidR="2FB0C460" w:rsidRPr="00E5757F">
        <w:rPr>
          <w:rFonts w:eastAsiaTheme="minorEastAsia"/>
          <w:sz w:val="20"/>
          <w:szCs w:val="20"/>
        </w:rPr>
        <w:t xml:space="preserve"> </w:t>
      </w:r>
    </w:p>
  </w:footnote>
  <w:footnote w:id="19">
    <w:p w14:paraId="5BC5B52D" w14:textId="0FCBEBDF" w:rsidR="40B2C4AC" w:rsidRPr="00E5757F" w:rsidRDefault="40B2C4AC" w:rsidP="00E5757F">
      <w:pPr>
        <w:pStyle w:val="FootnoteText"/>
        <w:jc w:val="both"/>
      </w:pPr>
      <w:r w:rsidRPr="00E5757F">
        <w:rPr>
          <w:rStyle w:val="FootnoteReference"/>
        </w:rPr>
        <w:footnoteRef/>
      </w:r>
      <w:r w:rsidR="2FB0C460" w:rsidRPr="00E5757F">
        <w:t xml:space="preserve"> AHEAD Project (2024). "What are medical deserts?”. Available at </w:t>
      </w:r>
      <w:hyperlink r:id="rId11">
        <w:r w:rsidR="2FB0C460" w:rsidRPr="00E5757F">
          <w:rPr>
            <w:rStyle w:val="Hyperlink"/>
          </w:rPr>
          <w:t>https://ahead.health/results/medical-desert/</w:t>
        </w:r>
      </w:hyperlink>
    </w:p>
  </w:footnote>
  <w:footnote w:id="20">
    <w:p w14:paraId="779EB6E2" w14:textId="6371209B" w:rsidR="40B2C4AC" w:rsidRPr="00E5757F" w:rsidRDefault="40B2C4AC" w:rsidP="00E5757F">
      <w:pPr>
        <w:pStyle w:val="FootnoteText"/>
        <w:jc w:val="both"/>
      </w:pPr>
      <w:r w:rsidRPr="00E5757F">
        <w:rPr>
          <w:rStyle w:val="FootnoteReference"/>
        </w:rPr>
        <w:footnoteRef/>
      </w:r>
      <w:r w:rsidR="750DF1FB" w:rsidRPr="00E5757F">
        <w:t xml:space="preserve"> Idem</w:t>
      </w:r>
    </w:p>
  </w:footnote>
  <w:footnote w:id="21">
    <w:p w14:paraId="7C8416FC" w14:textId="6185A71E" w:rsidR="0A709FE9" w:rsidRPr="00E5757F" w:rsidRDefault="0A709FE9" w:rsidP="00E5757F">
      <w:pPr>
        <w:spacing w:before="0" w:after="0"/>
        <w:jc w:val="both"/>
        <w:rPr>
          <w:rFonts w:ascii="Helvetica Neue" w:eastAsia="Helvetica Neue" w:hAnsi="Helvetica Neue" w:cs="Helvetica Neue"/>
          <w:sz w:val="20"/>
          <w:szCs w:val="20"/>
          <w:highlight w:val="yellow"/>
        </w:rPr>
      </w:pPr>
      <w:r w:rsidRPr="00E5757F">
        <w:rPr>
          <w:rStyle w:val="FootnoteReference"/>
          <w:sz w:val="20"/>
          <w:szCs w:val="20"/>
        </w:rPr>
        <w:footnoteRef/>
      </w:r>
      <w:r w:rsidR="750DF1FB" w:rsidRPr="00E5757F">
        <w:rPr>
          <w:sz w:val="20"/>
          <w:szCs w:val="20"/>
        </w:rPr>
        <w:t xml:space="preserve"> </w:t>
      </w:r>
      <w:r w:rsidR="750DF1FB" w:rsidRPr="00E5757F">
        <w:rPr>
          <w:rFonts w:eastAsia="Helvetica Neue"/>
          <w:sz w:val="20"/>
          <w:szCs w:val="20"/>
        </w:rPr>
        <w:t xml:space="preserve">Lauterbach K. (2023). “Ensuring the availability of a sufficient health and care workforce with the right skills”, </w:t>
      </w:r>
      <w:r w:rsidR="750DF1FB" w:rsidRPr="00E5757F">
        <w:rPr>
          <w:rFonts w:eastAsia="Helvetica Neue"/>
          <w:i/>
          <w:iCs/>
          <w:sz w:val="20"/>
          <w:szCs w:val="20"/>
        </w:rPr>
        <w:t>Eurohealth</w:t>
      </w:r>
      <w:r w:rsidR="750DF1FB" w:rsidRPr="00E5757F">
        <w:rPr>
          <w:rFonts w:eastAsia="Helvetica Neue"/>
          <w:sz w:val="20"/>
          <w:szCs w:val="20"/>
        </w:rPr>
        <w:t xml:space="preserve">, 29(3). Available at </w:t>
      </w:r>
      <w:hyperlink r:id="rId12" w:history="1">
        <w:r w:rsidR="750DF1FB" w:rsidRPr="00E5757F">
          <w:rPr>
            <w:rStyle w:val="Hyperlink"/>
            <w:rFonts w:eastAsia="Helvetica Neue"/>
            <w:sz w:val="20"/>
            <w:szCs w:val="20"/>
          </w:rPr>
          <w:t>https://eurohealthobservatory.who.int/publications/i/a-europe-that-cares-prepares-protects-strengthening-the-eu-health-union-(eurohealth)</w:t>
        </w:r>
      </w:hyperlink>
      <w:r w:rsidR="750DF1FB" w:rsidRPr="00E5757F">
        <w:rPr>
          <w:rFonts w:eastAsia="Helvetica Neue"/>
          <w:sz w:val="20"/>
          <w:szCs w:val="20"/>
        </w:rPr>
        <w:t xml:space="preserve">  </w:t>
      </w:r>
    </w:p>
  </w:footnote>
  <w:footnote w:id="22">
    <w:p w14:paraId="24112A94" w14:textId="6A38C6C9" w:rsidR="0A709FE9" w:rsidRPr="00F92EF0" w:rsidRDefault="0A709FE9" w:rsidP="00E5757F">
      <w:pPr>
        <w:spacing w:before="0" w:after="0"/>
        <w:jc w:val="both"/>
        <w:rPr>
          <w:rFonts w:ascii="Helvetica Neue" w:eastAsia="Helvetica Neue" w:hAnsi="Helvetica Neue" w:cs="Helvetica Neue"/>
          <w:sz w:val="20"/>
          <w:szCs w:val="20"/>
          <w:highlight w:val="yellow"/>
        </w:rPr>
      </w:pPr>
      <w:r w:rsidRPr="00E5757F">
        <w:rPr>
          <w:rStyle w:val="FootnoteReference"/>
          <w:sz w:val="20"/>
          <w:szCs w:val="20"/>
        </w:rPr>
        <w:footnoteRef/>
      </w:r>
      <w:r w:rsidR="2AE08C18" w:rsidRPr="00E5757F">
        <w:rPr>
          <w:sz w:val="20"/>
          <w:szCs w:val="20"/>
        </w:rPr>
        <w:t xml:space="preserve"> </w:t>
      </w:r>
      <w:r w:rsidR="2AE08C18" w:rsidRPr="00E5757F">
        <w:rPr>
          <w:rFonts w:eastAsiaTheme="minorEastAsia"/>
          <w:sz w:val="20"/>
          <w:szCs w:val="20"/>
        </w:rPr>
        <w:t>European Observatory on Health Systems and Policies (2023</w:t>
      </w:r>
      <w:r w:rsidR="00A962AE" w:rsidRPr="00E5757F">
        <w:rPr>
          <w:rFonts w:eastAsiaTheme="minorEastAsia"/>
          <w:sz w:val="20"/>
          <w:szCs w:val="20"/>
        </w:rPr>
        <w:t>a), op. cit.</w:t>
      </w:r>
      <w:r w:rsidR="00A962AE" w:rsidRPr="00A962AE">
        <w:rPr>
          <w:rFonts w:eastAsiaTheme="minorEastAsia"/>
          <w:sz w:val="20"/>
          <w:szCs w:val="20"/>
        </w:rPr>
        <w:t xml:space="preserve"> </w:t>
      </w:r>
    </w:p>
  </w:footnote>
  <w:footnote w:id="23">
    <w:p w14:paraId="22741A2C" w14:textId="1F85400F" w:rsidR="7111E027" w:rsidRPr="00E5757F" w:rsidRDefault="7111E027" w:rsidP="00E5757F">
      <w:pPr>
        <w:pStyle w:val="FootnoteText"/>
        <w:jc w:val="both"/>
        <w:rPr>
          <w:lang w:val="es-419"/>
        </w:rPr>
      </w:pPr>
      <w:r w:rsidRPr="00E5757F">
        <w:rPr>
          <w:rStyle w:val="FootnoteReference"/>
        </w:rPr>
        <w:footnoteRef/>
      </w:r>
      <w:r w:rsidR="2FB0C460" w:rsidRPr="00E5757F">
        <w:rPr>
          <w:lang w:val="es-419"/>
        </w:rPr>
        <w:t xml:space="preserve"> Zapata T. et al. (2023), </w:t>
      </w:r>
      <w:proofErr w:type="spellStart"/>
      <w:r w:rsidR="2FB0C460" w:rsidRPr="00E5757F">
        <w:rPr>
          <w:lang w:val="es-419"/>
        </w:rPr>
        <w:t>op</w:t>
      </w:r>
      <w:proofErr w:type="spellEnd"/>
      <w:r w:rsidR="2FB0C460" w:rsidRPr="00E5757F">
        <w:rPr>
          <w:lang w:val="es-419"/>
        </w:rPr>
        <w:t>. cit.</w:t>
      </w:r>
    </w:p>
  </w:footnote>
  <w:footnote w:id="24">
    <w:p w14:paraId="35865DDC" w14:textId="2A90CAA9" w:rsidR="00220FA2" w:rsidRPr="00220FA2" w:rsidRDefault="00220FA2" w:rsidP="00220FA2">
      <w:pPr>
        <w:pStyle w:val="FootnoteText"/>
        <w:jc w:val="both"/>
      </w:pPr>
      <w:r>
        <w:rPr>
          <w:rStyle w:val="FootnoteReference"/>
        </w:rPr>
        <w:footnoteRef/>
      </w:r>
      <w:r>
        <w:t xml:space="preserve"> Wemos (2023). “Infographic: where are Europe’s health workers going?” Available at: </w:t>
      </w:r>
      <w:hyperlink r:id="rId13" w:history="1">
        <w:r w:rsidRPr="00E50DCB">
          <w:rPr>
            <w:rStyle w:val="Hyperlink"/>
          </w:rPr>
          <w:t>https://www.wemos.org/en/infographic-where-are-europes-health-workers-going/</w:t>
        </w:r>
      </w:hyperlink>
      <w:r>
        <w:t xml:space="preserve"> </w:t>
      </w:r>
    </w:p>
  </w:footnote>
  <w:footnote w:id="25">
    <w:p w14:paraId="0B87BDB3" w14:textId="7CBDFA5A" w:rsidR="7111E027" w:rsidRPr="00E5757F" w:rsidRDefault="7111E027" w:rsidP="00E5757F">
      <w:pPr>
        <w:pStyle w:val="FootnoteText"/>
        <w:jc w:val="both"/>
        <w:rPr>
          <w:highlight w:val="yellow"/>
          <w:lang w:val="en-US"/>
        </w:rPr>
      </w:pPr>
      <w:r w:rsidRPr="00E5757F">
        <w:rPr>
          <w:rStyle w:val="FootnoteReference"/>
        </w:rPr>
        <w:footnoteRef/>
      </w:r>
      <w:r w:rsidR="2FB0C460" w:rsidRPr="00E5757F">
        <w:t xml:space="preserve"> European Observatory on Health Systems and Policies (2023c). “What steps can improve and promote investment in the health and care workforce? Enhancing efficiency of spending and rethinking domestic and international financing”. Policy brief n°54. Available at </w:t>
      </w:r>
      <w:hyperlink r:id="rId14" w:history="1">
        <w:r w:rsidR="2FB0C460" w:rsidRPr="00E5757F">
          <w:rPr>
            <w:rStyle w:val="Hyperlink"/>
          </w:rPr>
          <w:t>https://iris.who.int/bitstream/handle/10665/366654/Policy-brief-54-1997-8073-eng.pdf?sequence=1</w:t>
        </w:r>
      </w:hyperlink>
      <w:r w:rsidR="2FB0C460" w:rsidRPr="00E5757F">
        <w:t xml:space="preserve"> </w:t>
      </w:r>
    </w:p>
  </w:footnote>
  <w:footnote w:id="26">
    <w:p w14:paraId="1DEBACF2" w14:textId="1136F446" w:rsidR="00D026E7" w:rsidRPr="00E5757F" w:rsidRDefault="00D026E7" w:rsidP="00E5757F">
      <w:pPr>
        <w:pStyle w:val="FootnoteText"/>
        <w:jc w:val="both"/>
      </w:pPr>
      <w:r w:rsidRPr="00E5757F">
        <w:rPr>
          <w:rStyle w:val="FootnoteReference"/>
        </w:rPr>
        <w:footnoteRef/>
      </w:r>
      <w:r w:rsidR="2FB0C460" w:rsidRPr="00E5757F">
        <w:t xml:space="preserve"> United Nations Network on Migration (2024). "Triple Win Programme”. Available at </w:t>
      </w:r>
      <w:hyperlink r:id="rId15">
        <w:r w:rsidR="2FB0C460" w:rsidRPr="00E5757F">
          <w:rPr>
            <w:rStyle w:val="Hyperlink"/>
          </w:rPr>
          <w:t>https://migrationnetwork.un.org/projects/triple-win-programme</w:t>
        </w:r>
      </w:hyperlink>
    </w:p>
  </w:footnote>
  <w:footnote w:id="27">
    <w:p w14:paraId="2BB683BA" w14:textId="2F39454A" w:rsidR="00485B10" w:rsidRPr="00E5757F" w:rsidRDefault="00485B10" w:rsidP="00E5757F">
      <w:pPr>
        <w:pStyle w:val="FootnoteText"/>
        <w:jc w:val="both"/>
      </w:pPr>
      <w:r w:rsidRPr="00E5757F">
        <w:rPr>
          <w:rStyle w:val="FootnoteReference"/>
        </w:rPr>
        <w:footnoteRef/>
      </w:r>
      <w:r w:rsidR="2FB0C460" w:rsidRPr="00E5757F">
        <w:t xml:space="preserve"> </w:t>
      </w:r>
      <w:proofErr w:type="spellStart"/>
      <w:r w:rsidR="2FB0C460" w:rsidRPr="00E5757F">
        <w:t>Center</w:t>
      </w:r>
      <w:proofErr w:type="spellEnd"/>
      <w:r w:rsidR="2FB0C460" w:rsidRPr="00E5757F">
        <w:t xml:space="preserve"> for Global Development (2024). "Sustainable Recruitment of Nurses (Triple Win)”. Available at </w:t>
      </w:r>
      <w:hyperlink r:id="rId16">
        <w:r w:rsidR="2FB0C460" w:rsidRPr="00E5757F">
          <w:rPr>
            <w:rStyle w:val="Hyperlink"/>
          </w:rPr>
          <w:t>https://gsp.cgdev.org/legalpathway/sustainable-recruitment-of-nurses-triple-win/</w:t>
        </w:r>
      </w:hyperlink>
    </w:p>
  </w:footnote>
  <w:footnote w:id="28">
    <w:p w14:paraId="0CCF92AC" w14:textId="3AB27757" w:rsidR="7111E027" w:rsidRPr="00E5757F" w:rsidRDefault="7111E027" w:rsidP="00E5757F">
      <w:pPr>
        <w:pStyle w:val="FootnoteText"/>
        <w:jc w:val="both"/>
        <w:rPr>
          <w:rStyle w:val="FootnoteReference"/>
        </w:rPr>
      </w:pPr>
      <w:r w:rsidRPr="00E5757F">
        <w:rPr>
          <w:rStyle w:val="FootnoteReference"/>
        </w:rPr>
        <w:footnoteRef/>
      </w:r>
      <w:r w:rsidRPr="00E5757F">
        <w:t xml:space="preserve"> </w:t>
      </w:r>
      <w:r w:rsidR="004D5B6B" w:rsidRPr="00E5757F">
        <w:t xml:space="preserve">World Health Organization (2010). “WHO Global Code of Practice on the International Recruitment of Health Personnel”. Available at </w:t>
      </w:r>
      <w:hyperlink r:id="rId17" w:history="1">
        <w:r w:rsidR="004D5B6B" w:rsidRPr="00E5757F">
          <w:rPr>
            <w:rStyle w:val="Hyperlink"/>
          </w:rPr>
          <w:t>https://apps.who.int/gb/ebwha/pdf_files/WHA63/A63_R16-en.pdf</w:t>
        </w:r>
      </w:hyperlink>
      <w:r w:rsidR="004D5B6B" w:rsidRPr="00E5757F">
        <w:t xml:space="preserve"> </w:t>
      </w:r>
    </w:p>
  </w:footnote>
  <w:footnote w:id="29">
    <w:p w14:paraId="01E69268" w14:textId="16CC2CF8" w:rsidR="7111E027" w:rsidRPr="00E5757F" w:rsidRDefault="7111E027" w:rsidP="00E5757F">
      <w:pPr>
        <w:pStyle w:val="FootnoteText"/>
        <w:jc w:val="both"/>
      </w:pPr>
      <w:r w:rsidRPr="00E5757F">
        <w:rPr>
          <w:rStyle w:val="FootnoteReference"/>
        </w:rPr>
        <w:footnoteRef/>
      </w:r>
      <w:r w:rsidRPr="00E5757F">
        <w:t xml:space="preserve"> </w:t>
      </w:r>
      <w:r w:rsidR="004D5B6B" w:rsidRPr="00E5757F">
        <w:t>Idem.</w:t>
      </w:r>
    </w:p>
  </w:footnote>
  <w:footnote w:id="30">
    <w:p w14:paraId="6F72CFBC" w14:textId="30382AD3" w:rsidR="3CEA1630" w:rsidRPr="00486AE1" w:rsidRDefault="3CEA1630" w:rsidP="00E5757F">
      <w:pPr>
        <w:spacing w:before="0" w:after="0"/>
        <w:ind w:left="-20" w:right="-20"/>
        <w:jc w:val="both"/>
        <w:rPr>
          <w:rStyle w:val="Hyperlink"/>
          <w:rFonts w:eastAsiaTheme="minorEastAsia"/>
          <w:b/>
          <w:bCs/>
          <w:sz w:val="20"/>
          <w:szCs w:val="20"/>
        </w:rPr>
      </w:pPr>
      <w:r w:rsidRPr="00E5757F">
        <w:rPr>
          <w:rStyle w:val="FootnoteReference"/>
          <w:sz w:val="20"/>
          <w:szCs w:val="20"/>
        </w:rPr>
        <w:footnoteRef/>
      </w:r>
      <w:r w:rsidR="2FB0C460" w:rsidRPr="00E5757F">
        <w:rPr>
          <w:rFonts w:eastAsiaTheme="minorEastAsia"/>
          <w:sz w:val="20"/>
          <w:szCs w:val="20"/>
        </w:rPr>
        <w:t xml:space="preserve"> European Commission, Directorate-General for Employment, Social </w:t>
      </w:r>
      <w:proofErr w:type="gramStart"/>
      <w:r w:rsidR="2FB0C460" w:rsidRPr="00E5757F">
        <w:rPr>
          <w:rFonts w:eastAsiaTheme="minorEastAsia"/>
          <w:sz w:val="20"/>
          <w:szCs w:val="20"/>
        </w:rPr>
        <w:t>Affairs</w:t>
      </w:r>
      <w:proofErr w:type="gramEnd"/>
      <w:r w:rsidR="2FB0C460" w:rsidRPr="00E5757F">
        <w:rPr>
          <w:rFonts w:eastAsiaTheme="minorEastAsia"/>
          <w:sz w:val="20"/>
          <w:szCs w:val="20"/>
        </w:rPr>
        <w:t xml:space="preserve"> and Inclusion (2023). </w:t>
      </w:r>
      <w:r w:rsidR="2FB0C460" w:rsidRPr="00E5757F">
        <w:rPr>
          <w:rFonts w:eastAsiaTheme="minorEastAsia"/>
          <w:i/>
          <w:iCs/>
          <w:sz w:val="20"/>
          <w:szCs w:val="20"/>
        </w:rPr>
        <w:t>Employment and social developments in Europe 2023.</w:t>
      </w:r>
      <w:r w:rsidR="2FB0C460" w:rsidRPr="00E5757F">
        <w:rPr>
          <w:rFonts w:eastAsiaTheme="minorEastAsia"/>
          <w:sz w:val="20"/>
          <w:szCs w:val="20"/>
        </w:rPr>
        <w:t xml:space="preserve"> Publications Office of the European Union. Available at </w:t>
      </w:r>
      <w:hyperlink r:id="rId18">
        <w:r w:rsidR="2FB0C460" w:rsidRPr="00E5757F">
          <w:rPr>
            <w:rStyle w:val="Hyperlink"/>
            <w:rFonts w:eastAsia="Arial"/>
            <w:sz w:val="20"/>
            <w:szCs w:val="20"/>
          </w:rPr>
          <w:t>https://data.europa.eu/doi/10.2767/089698</w:t>
        </w:r>
      </w:hyperlink>
    </w:p>
  </w:footnote>
  <w:footnote w:id="31">
    <w:p w14:paraId="2914DCBE" w14:textId="724028E7" w:rsidR="3CEA1630" w:rsidRPr="00E5757F" w:rsidRDefault="3CEA1630" w:rsidP="00E5757F">
      <w:pPr>
        <w:pStyle w:val="FootnoteText"/>
        <w:jc w:val="both"/>
      </w:pPr>
      <w:r w:rsidRPr="00E5757F">
        <w:rPr>
          <w:rStyle w:val="FootnoteReference"/>
        </w:rPr>
        <w:footnoteRef/>
      </w:r>
      <w:r w:rsidR="2FB0C460" w:rsidRPr="00E5757F">
        <w:t xml:space="preserve"> European Commission (2023), op. cit.</w:t>
      </w:r>
    </w:p>
  </w:footnote>
  <w:footnote w:id="32">
    <w:p w14:paraId="060B6FBF" w14:textId="5D21743D" w:rsidR="00B2703A" w:rsidRPr="00E5757F" w:rsidRDefault="00B2703A" w:rsidP="00E5757F">
      <w:pPr>
        <w:spacing w:before="0" w:after="0"/>
        <w:jc w:val="both"/>
        <w:rPr>
          <w:rFonts w:eastAsiaTheme="minorEastAsia"/>
          <w:sz w:val="20"/>
          <w:szCs w:val="20"/>
        </w:rPr>
      </w:pPr>
      <w:r w:rsidRPr="00E5757F">
        <w:rPr>
          <w:rStyle w:val="FootnoteReference"/>
          <w:sz w:val="20"/>
          <w:szCs w:val="20"/>
        </w:rPr>
        <w:footnoteRef/>
      </w:r>
      <w:r w:rsidR="750DF1FB" w:rsidRPr="00E5757F">
        <w:rPr>
          <w:sz w:val="20"/>
          <w:szCs w:val="20"/>
        </w:rPr>
        <w:t xml:space="preserve"> </w:t>
      </w:r>
      <w:r w:rsidR="750DF1FB" w:rsidRPr="00E5757F">
        <w:rPr>
          <w:rFonts w:eastAsiaTheme="minorEastAsia"/>
          <w:sz w:val="20"/>
          <w:szCs w:val="20"/>
        </w:rPr>
        <w:t xml:space="preserve">De Staat van Volksgezondheid </w:t>
      </w:r>
      <w:proofErr w:type="spellStart"/>
      <w:r w:rsidR="750DF1FB" w:rsidRPr="00E5757F">
        <w:rPr>
          <w:rFonts w:eastAsiaTheme="minorEastAsia"/>
          <w:sz w:val="20"/>
          <w:szCs w:val="20"/>
        </w:rPr>
        <w:t>en</w:t>
      </w:r>
      <w:proofErr w:type="spellEnd"/>
      <w:r w:rsidR="750DF1FB" w:rsidRPr="00E5757F">
        <w:rPr>
          <w:rFonts w:eastAsiaTheme="minorEastAsia"/>
          <w:sz w:val="20"/>
          <w:szCs w:val="20"/>
        </w:rPr>
        <w:t xml:space="preserve"> Zorg (2024). “</w:t>
      </w:r>
      <w:proofErr w:type="spellStart"/>
      <w:r w:rsidR="750DF1FB" w:rsidRPr="00E5757F">
        <w:rPr>
          <w:rFonts w:eastAsiaTheme="minorEastAsia"/>
          <w:sz w:val="20"/>
          <w:szCs w:val="20"/>
        </w:rPr>
        <w:t>Apotheekhoudende</w:t>
      </w:r>
      <w:proofErr w:type="spellEnd"/>
      <w:r w:rsidR="750DF1FB" w:rsidRPr="00E5757F">
        <w:rPr>
          <w:rFonts w:eastAsiaTheme="minorEastAsia"/>
          <w:sz w:val="20"/>
          <w:szCs w:val="20"/>
        </w:rPr>
        <w:t xml:space="preserve"> </w:t>
      </w:r>
      <w:proofErr w:type="spellStart"/>
      <w:r w:rsidR="750DF1FB" w:rsidRPr="00E5757F">
        <w:rPr>
          <w:rFonts w:eastAsiaTheme="minorEastAsia"/>
          <w:sz w:val="20"/>
          <w:szCs w:val="20"/>
        </w:rPr>
        <w:t>huisartsenpraktijken</w:t>
      </w:r>
      <w:proofErr w:type="spellEnd"/>
      <w:r w:rsidR="750DF1FB" w:rsidRPr="00E5757F">
        <w:rPr>
          <w:rFonts w:eastAsiaTheme="minorEastAsia"/>
          <w:sz w:val="20"/>
          <w:szCs w:val="20"/>
        </w:rPr>
        <w:t xml:space="preserve">”. Available at: </w:t>
      </w:r>
      <w:hyperlink r:id="rId19">
        <w:r w:rsidR="750DF1FB" w:rsidRPr="00E5757F">
          <w:rPr>
            <w:rStyle w:val="Hyperlink"/>
            <w:rFonts w:eastAsiaTheme="minorEastAsia"/>
            <w:sz w:val="20"/>
            <w:szCs w:val="20"/>
          </w:rPr>
          <w:t>https://www.staatvenz.nl/kerncijfers/apotheekhoudende-huisartsenpraktijken-aantal</w:t>
        </w:r>
      </w:hyperlink>
    </w:p>
  </w:footnote>
  <w:footnote w:id="33">
    <w:p w14:paraId="52D7E379" w14:textId="3DD8F9AA" w:rsidR="0A709FE9" w:rsidRPr="00E5757F" w:rsidRDefault="0A709FE9" w:rsidP="00E5757F">
      <w:pPr>
        <w:spacing w:before="0" w:after="0"/>
        <w:ind w:left="-20" w:right="-20"/>
        <w:jc w:val="both"/>
        <w:rPr>
          <w:rStyle w:val="Hyperlink"/>
          <w:rFonts w:eastAsiaTheme="minorEastAsia"/>
          <w:b/>
          <w:bCs/>
          <w:sz w:val="20"/>
          <w:szCs w:val="20"/>
        </w:rPr>
      </w:pPr>
      <w:r w:rsidRPr="00E5757F">
        <w:rPr>
          <w:rStyle w:val="FootnoteReference"/>
          <w:sz w:val="20"/>
          <w:szCs w:val="20"/>
        </w:rPr>
        <w:footnoteRef/>
      </w:r>
      <w:r w:rsidRPr="00E5757F">
        <w:rPr>
          <w:rFonts w:eastAsiaTheme="minorEastAsia"/>
          <w:sz w:val="20"/>
          <w:szCs w:val="20"/>
        </w:rPr>
        <w:t xml:space="preserve"> </w:t>
      </w:r>
      <w:r w:rsidRPr="00E5757F">
        <w:rPr>
          <w:rFonts w:eastAsiaTheme="minorEastAsia" w:cstheme="minorHAnsi"/>
          <w:sz w:val="20"/>
          <w:szCs w:val="20"/>
        </w:rPr>
        <w:t xml:space="preserve">European Commission, Directorate-General for Employment, Social </w:t>
      </w:r>
      <w:proofErr w:type="gramStart"/>
      <w:r w:rsidRPr="00E5757F">
        <w:rPr>
          <w:rFonts w:eastAsiaTheme="minorEastAsia" w:cstheme="minorHAnsi"/>
          <w:sz w:val="20"/>
          <w:szCs w:val="20"/>
        </w:rPr>
        <w:t>Affairs</w:t>
      </w:r>
      <w:proofErr w:type="gramEnd"/>
      <w:r w:rsidRPr="00E5757F">
        <w:rPr>
          <w:rFonts w:eastAsiaTheme="minorEastAsia" w:cstheme="minorHAnsi"/>
          <w:sz w:val="20"/>
          <w:szCs w:val="20"/>
        </w:rPr>
        <w:t xml:space="preserve"> and Inclusio</w:t>
      </w:r>
      <w:r w:rsidR="00CB007D" w:rsidRPr="00E5757F">
        <w:rPr>
          <w:rFonts w:eastAsiaTheme="minorEastAsia" w:cstheme="minorHAnsi"/>
          <w:sz w:val="20"/>
          <w:szCs w:val="20"/>
        </w:rPr>
        <w:t>n (2023), op.</w:t>
      </w:r>
      <w:r w:rsidR="00F92EF0" w:rsidRPr="00E5757F">
        <w:rPr>
          <w:rFonts w:eastAsiaTheme="minorEastAsia" w:cstheme="minorHAnsi"/>
          <w:sz w:val="20"/>
          <w:szCs w:val="20"/>
        </w:rPr>
        <w:t xml:space="preserve"> </w:t>
      </w:r>
      <w:r w:rsidR="00CB007D" w:rsidRPr="00E5757F">
        <w:rPr>
          <w:rFonts w:eastAsiaTheme="minorEastAsia" w:cstheme="minorHAnsi"/>
          <w:sz w:val="20"/>
          <w:szCs w:val="20"/>
        </w:rPr>
        <w:t>cit.</w:t>
      </w:r>
    </w:p>
  </w:footnote>
  <w:footnote w:id="34">
    <w:p w14:paraId="0896606C" w14:textId="0D772292" w:rsidR="792FB4BB" w:rsidRDefault="792FB4BB" w:rsidP="792FB4BB">
      <w:pPr>
        <w:spacing w:before="0" w:after="0"/>
        <w:jc w:val="both"/>
        <w:rPr>
          <w:rFonts w:eastAsiaTheme="minorEastAsia"/>
          <w:sz w:val="20"/>
          <w:szCs w:val="20"/>
        </w:rPr>
      </w:pPr>
      <w:r w:rsidRPr="792FB4BB">
        <w:rPr>
          <w:rStyle w:val="FootnoteReference"/>
          <w:sz w:val="20"/>
          <w:szCs w:val="20"/>
        </w:rPr>
        <w:footnoteRef/>
      </w:r>
      <w:r w:rsidRPr="792FB4BB">
        <w:rPr>
          <w:sz w:val="20"/>
          <w:szCs w:val="20"/>
          <w:lang w:val="fr-BE"/>
        </w:rPr>
        <w:t xml:space="preserve"> </w:t>
      </w:r>
      <w:r w:rsidRPr="792FB4BB">
        <w:rPr>
          <w:rFonts w:eastAsiaTheme="minorEastAsia"/>
          <w:sz w:val="20"/>
          <w:szCs w:val="20"/>
          <w:lang w:val="fr-BE"/>
        </w:rPr>
        <w:t xml:space="preserve">Ministère du Travail, de la Santé et des Solidarités (2024). “L’infirmier en pratique avancée. Améliorer l’accès aux soins en diversifiant l’activité des soignants”. </w:t>
      </w:r>
      <w:r w:rsidRPr="792FB4BB">
        <w:rPr>
          <w:rFonts w:eastAsiaTheme="minorEastAsia"/>
          <w:sz w:val="20"/>
          <w:szCs w:val="20"/>
        </w:rPr>
        <w:t xml:space="preserve">Available at </w:t>
      </w:r>
      <w:hyperlink r:id="rId20">
        <w:r w:rsidRPr="792FB4BB">
          <w:rPr>
            <w:rStyle w:val="Hyperlink"/>
            <w:rFonts w:eastAsiaTheme="minorEastAsia"/>
            <w:sz w:val="20"/>
            <w:szCs w:val="20"/>
          </w:rPr>
          <w:t>https://sante.gouv.fr/systeme-de-sante/acces-territorial-aux-soins/article/l-infirmier-en-pratique-avancee</w:t>
        </w:r>
      </w:hyperlink>
      <w:r w:rsidRPr="792FB4BB">
        <w:rPr>
          <w:rFonts w:eastAsiaTheme="minorEastAsia"/>
          <w:sz w:val="20"/>
          <w:szCs w:val="20"/>
        </w:rPr>
        <w:t xml:space="preserve"> </w:t>
      </w:r>
    </w:p>
  </w:footnote>
  <w:footnote w:id="35">
    <w:p w14:paraId="6655DBB5" w14:textId="29A54B47" w:rsidR="003113D1" w:rsidRPr="00E5757F" w:rsidRDefault="003113D1" w:rsidP="00E5757F">
      <w:pPr>
        <w:pStyle w:val="FootnoteText"/>
        <w:jc w:val="both"/>
        <w:rPr>
          <w:rFonts w:cstheme="minorHAnsi"/>
        </w:rPr>
      </w:pPr>
      <w:r w:rsidRPr="00E5757F">
        <w:rPr>
          <w:rStyle w:val="FootnoteReference"/>
        </w:rPr>
        <w:footnoteRef/>
      </w:r>
      <w:r w:rsidRPr="00E5757F">
        <w:t xml:space="preserve"> </w:t>
      </w:r>
      <w:r w:rsidR="00D72562" w:rsidRPr="00E5757F">
        <w:t>European Association of Hospital Pharmacists (EAHP) (2023)</w:t>
      </w:r>
      <w:r w:rsidR="00F92EF0" w:rsidRPr="00E5757F">
        <w:t>, op. cit.</w:t>
      </w:r>
      <w:r w:rsidR="00D72562" w:rsidRPr="00E5757F">
        <w:t xml:space="preserve"> </w:t>
      </w:r>
    </w:p>
  </w:footnote>
  <w:footnote w:id="36">
    <w:p w14:paraId="72DA0E47" w14:textId="3032CA1D" w:rsidR="00C8358C" w:rsidRPr="004460E3" w:rsidRDefault="00C8358C" w:rsidP="00E5757F">
      <w:pPr>
        <w:pStyle w:val="FootnoteText"/>
        <w:jc w:val="both"/>
        <w:rPr>
          <w:rStyle w:val="Hyperlink"/>
          <w:lang w:val="en-US"/>
        </w:rPr>
      </w:pPr>
      <w:r w:rsidRPr="00E5757F">
        <w:rPr>
          <w:rStyle w:val="FootnoteReference"/>
        </w:rPr>
        <w:footnoteRef/>
      </w:r>
      <w:r w:rsidR="750DF1FB" w:rsidRPr="00E5757F">
        <w:t xml:space="preserve"> Idem.</w:t>
      </w:r>
    </w:p>
  </w:footnote>
  <w:footnote w:id="37">
    <w:p w14:paraId="38F1306A" w14:textId="29D6FC75" w:rsidR="00535D51" w:rsidRPr="00535D51" w:rsidRDefault="00535D51">
      <w:pPr>
        <w:pStyle w:val="FootnoteText"/>
      </w:pPr>
      <w:r>
        <w:rPr>
          <w:rStyle w:val="FootnoteReference"/>
        </w:rPr>
        <w:footnoteRef/>
      </w:r>
      <w:r>
        <w:t xml:space="preserve"> </w:t>
      </w:r>
      <w:proofErr w:type="spellStart"/>
      <w:r w:rsidR="009658D2" w:rsidRPr="009658D2">
        <w:t>Verpleegkindig</w:t>
      </w:r>
      <w:proofErr w:type="spellEnd"/>
      <w:r w:rsidR="009658D2" w:rsidRPr="009658D2">
        <w:t xml:space="preserve"> </w:t>
      </w:r>
      <w:proofErr w:type="spellStart"/>
      <w:r w:rsidR="009658D2" w:rsidRPr="009658D2">
        <w:t>Specialisten</w:t>
      </w:r>
      <w:proofErr w:type="spellEnd"/>
      <w:r w:rsidR="009658D2" w:rsidRPr="009658D2">
        <w:t xml:space="preserve"> (2018). “Working together with the nurse practitioner”. Available at: </w:t>
      </w:r>
      <w:hyperlink r:id="rId21" w:history="1">
        <w:r w:rsidR="009658D2" w:rsidRPr="008F204D">
          <w:rPr>
            <w:rStyle w:val="Hyperlink"/>
          </w:rPr>
          <w:t>https://cstor.eu/venvnvs/2018/07/2018-07-17-Factsheet-VS-ENG.pdf</w:t>
        </w:r>
      </w:hyperlink>
      <w:r w:rsidR="009658D2">
        <w:t xml:space="preserve"> </w:t>
      </w:r>
    </w:p>
  </w:footnote>
  <w:footnote w:id="38">
    <w:p w14:paraId="536BA9EE" w14:textId="177BBDD2" w:rsidR="008D7A8A" w:rsidRPr="00E5757F" w:rsidRDefault="008D7A8A" w:rsidP="00E5757F">
      <w:pPr>
        <w:spacing w:before="0" w:after="0"/>
        <w:jc w:val="both"/>
        <w:rPr>
          <w:rFonts w:eastAsiaTheme="minorEastAsia"/>
          <w:sz w:val="20"/>
          <w:szCs w:val="20"/>
        </w:rPr>
      </w:pPr>
      <w:r w:rsidRPr="00E5757F">
        <w:rPr>
          <w:rStyle w:val="FootnoteReference"/>
          <w:sz w:val="20"/>
          <w:szCs w:val="20"/>
        </w:rPr>
        <w:footnoteRef/>
      </w:r>
      <w:r w:rsidR="2FB0C460" w:rsidRPr="00E5757F">
        <w:rPr>
          <w:sz w:val="20"/>
          <w:szCs w:val="20"/>
        </w:rPr>
        <w:t xml:space="preserve"> </w:t>
      </w:r>
      <w:r w:rsidR="2FB0C460" w:rsidRPr="00E5757F">
        <w:rPr>
          <w:rFonts w:eastAsiaTheme="minorEastAsia"/>
          <w:sz w:val="20"/>
          <w:szCs w:val="20"/>
        </w:rPr>
        <w:t xml:space="preserve">European Specialist Nurses Organisation (2024). “A call for urgent action: Recognition of the Specialised and Advanced nursing profession in Europe”. </w:t>
      </w:r>
      <w:r w:rsidR="2FB0C460" w:rsidRPr="00E5757F">
        <w:rPr>
          <w:rFonts w:eastAsiaTheme="minorEastAsia"/>
          <w:i/>
          <w:iCs/>
          <w:sz w:val="20"/>
          <w:szCs w:val="20"/>
        </w:rPr>
        <w:t>Position paper</w:t>
      </w:r>
      <w:r w:rsidR="2FB0C460" w:rsidRPr="00E5757F">
        <w:rPr>
          <w:rFonts w:eastAsiaTheme="minorEastAsia"/>
          <w:sz w:val="20"/>
          <w:szCs w:val="20"/>
        </w:rPr>
        <w:t xml:space="preserve">. Available at </w:t>
      </w:r>
      <w:hyperlink r:id="rId22" w:history="1">
        <w:r w:rsidR="2FB0C460" w:rsidRPr="00E5757F">
          <w:rPr>
            <w:rStyle w:val="Hyperlink"/>
            <w:rFonts w:eastAsiaTheme="minorEastAsia"/>
            <w:sz w:val="20"/>
            <w:szCs w:val="20"/>
          </w:rPr>
          <w:t>https://www.esno.org/assets/files/ICN-NP-APNN_Position_Paper.pdf</w:t>
        </w:r>
      </w:hyperlink>
    </w:p>
  </w:footnote>
  <w:footnote w:id="39">
    <w:p w14:paraId="10920774" w14:textId="17DA5B49" w:rsidR="00962AFB" w:rsidRPr="00E5757F" w:rsidRDefault="00962AFB" w:rsidP="00E5757F">
      <w:pPr>
        <w:spacing w:before="0" w:after="0"/>
        <w:jc w:val="both"/>
        <w:rPr>
          <w:rFonts w:eastAsiaTheme="minorEastAsia"/>
          <w:sz w:val="20"/>
          <w:szCs w:val="20"/>
          <w:lang w:val="fr-BE"/>
        </w:rPr>
      </w:pPr>
      <w:r w:rsidRPr="00E5757F">
        <w:rPr>
          <w:rStyle w:val="FootnoteReference"/>
          <w:sz w:val="20"/>
          <w:szCs w:val="20"/>
        </w:rPr>
        <w:footnoteRef/>
      </w:r>
      <w:r w:rsidR="2FB0C460" w:rsidRPr="00E5757F">
        <w:rPr>
          <w:sz w:val="20"/>
          <w:szCs w:val="20"/>
        </w:rPr>
        <w:t xml:space="preserve"> </w:t>
      </w:r>
      <w:r w:rsidR="2FB0C460" w:rsidRPr="00E5757F">
        <w:rPr>
          <w:rFonts w:eastAsiaTheme="minorEastAsia"/>
          <w:sz w:val="20"/>
          <w:szCs w:val="20"/>
        </w:rPr>
        <w:t xml:space="preserve">European Union (2005). “Directive 2005/36/EC of the European Parliament and of the Council of 7 September 2005 on the recognition of professional qualifications (Text with EEA relevance)”. </w:t>
      </w:r>
      <w:r w:rsidR="2FB0C460" w:rsidRPr="00E5757F">
        <w:rPr>
          <w:rFonts w:eastAsiaTheme="minorEastAsia"/>
          <w:sz w:val="20"/>
          <w:szCs w:val="20"/>
          <w:lang w:val="fr-BE"/>
        </w:rPr>
        <w:t>OJL 255</w:t>
      </w:r>
      <w:r w:rsidR="2FB0C460" w:rsidRPr="00E5757F">
        <w:rPr>
          <w:rFonts w:eastAsiaTheme="minorEastAsia"/>
          <w:i/>
          <w:iCs/>
          <w:sz w:val="20"/>
          <w:szCs w:val="20"/>
          <w:lang w:val="fr-BE"/>
        </w:rPr>
        <w:t xml:space="preserve">. </w:t>
      </w:r>
      <w:proofErr w:type="spellStart"/>
      <w:r w:rsidR="2FB0C460" w:rsidRPr="00E5757F">
        <w:rPr>
          <w:rFonts w:eastAsiaTheme="minorEastAsia"/>
          <w:sz w:val="20"/>
          <w:szCs w:val="20"/>
          <w:lang w:val="fr-BE"/>
        </w:rPr>
        <w:t>Available</w:t>
      </w:r>
      <w:proofErr w:type="spellEnd"/>
      <w:r w:rsidR="2FB0C460" w:rsidRPr="00E5757F">
        <w:rPr>
          <w:rFonts w:eastAsiaTheme="minorEastAsia"/>
          <w:sz w:val="20"/>
          <w:szCs w:val="20"/>
          <w:lang w:val="fr-BE"/>
        </w:rPr>
        <w:t xml:space="preserve"> at</w:t>
      </w:r>
      <w:r w:rsidR="2FB0C460" w:rsidRPr="00E5757F">
        <w:rPr>
          <w:rFonts w:eastAsiaTheme="minorEastAsia"/>
          <w:i/>
          <w:iCs/>
          <w:sz w:val="20"/>
          <w:szCs w:val="20"/>
          <w:lang w:val="fr-BE"/>
        </w:rPr>
        <w:t xml:space="preserve"> </w:t>
      </w:r>
      <w:hyperlink r:id="rId23" w:history="1">
        <w:r w:rsidR="2FB0C460" w:rsidRPr="00E5757F">
          <w:rPr>
            <w:rStyle w:val="Hyperlink"/>
            <w:rFonts w:eastAsiaTheme="minorEastAsia"/>
            <w:sz w:val="20"/>
            <w:szCs w:val="20"/>
            <w:lang w:val="fr-BE"/>
          </w:rPr>
          <w:t>https://eur-lex.europa.eu/eli/dir/2005/36/oj</w:t>
        </w:r>
      </w:hyperlink>
      <w:r w:rsidR="2FB0C460" w:rsidRPr="00E5757F">
        <w:rPr>
          <w:rFonts w:eastAsiaTheme="minorEastAsia"/>
          <w:sz w:val="20"/>
          <w:szCs w:val="20"/>
          <w:lang w:val="fr-BE"/>
        </w:rPr>
        <w:t xml:space="preserve"> </w:t>
      </w:r>
    </w:p>
  </w:footnote>
  <w:footnote w:id="40">
    <w:p w14:paraId="5AA45B48" w14:textId="6DD13E4F" w:rsidR="0017023C" w:rsidRPr="00E5757F" w:rsidRDefault="0017023C" w:rsidP="00E5757F">
      <w:pPr>
        <w:pStyle w:val="FootnoteText"/>
        <w:jc w:val="both"/>
        <w:rPr>
          <w:lang w:val="en-US"/>
        </w:rPr>
      </w:pPr>
      <w:r w:rsidRPr="00E5757F">
        <w:rPr>
          <w:rStyle w:val="FootnoteReference"/>
        </w:rPr>
        <w:footnoteRef/>
      </w:r>
      <w:r w:rsidR="2FB0C460" w:rsidRPr="00E5757F">
        <w:rPr>
          <w:lang w:val="fr-BE"/>
        </w:rPr>
        <w:t xml:space="preserve"> Sorensen J. et al. </w:t>
      </w:r>
      <w:r w:rsidR="2FB0C460" w:rsidRPr="00E5757F">
        <w:t xml:space="preserve">(2019). </w:t>
      </w:r>
      <w:r w:rsidR="00D725EA">
        <w:t>“</w:t>
      </w:r>
      <w:r w:rsidR="2FB0C460" w:rsidRPr="00E5757F">
        <w:t xml:space="preserve">Need for ensuring cultural competence in medical programmes of European universities”. </w:t>
      </w:r>
      <w:r w:rsidR="2FB0C460" w:rsidRPr="00E5757F">
        <w:rPr>
          <w:i/>
          <w:iCs/>
        </w:rPr>
        <w:t>BMC Medical Education.</w:t>
      </w:r>
      <w:r w:rsidR="2FB0C460" w:rsidRPr="00E5757F">
        <w:t xml:space="preserve"> 19(21). Available at </w:t>
      </w:r>
      <w:hyperlink r:id="rId24" w:history="1">
        <w:r w:rsidR="2FB0C460" w:rsidRPr="00E5757F">
          <w:rPr>
            <w:rStyle w:val="Hyperlink"/>
          </w:rPr>
          <w:t>https://www.ncbi.nlm.nih.gov/pmc/articles/PMC6332889/</w:t>
        </w:r>
      </w:hyperlink>
      <w:r w:rsidR="2FB0C460" w:rsidRPr="00E5757F">
        <w:t xml:space="preserve"> </w:t>
      </w:r>
    </w:p>
  </w:footnote>
  <w:footnote w:id="41">
    <w:p w14:paraId="6E4EC892" w14:textId="7AF07D56" w:rsidR="0017023C" w:rsidRPr="008A6539" w:rsidRDefault="0017023C" w:rsidP="00E5757F">
      <w:pPr>
        <w:pStyle w:val="FootnoteText"/>
        <w:jc w:val="both"/>
        <w:rPr>
          <w:lang w:val="en-US"/>
        </w:rPr>
      </w:pPr>
      <w:r w:rsidRPr="00E5757F">
        <w:rPr>
          <w:rStyle w:val="FootnoteReference"/>
          <w:rFonts w:eastAsia="system-ui"/>
        </w:rPr>
        <w:footnoteRef/>
      </w:r>
      <w:r w:rsidR="2FB0C460" w:rsidRPr="00E5757F">
        <w:rPr>
          <w:rFonts w:eastAsia="system-ui"/>
        </w:rPr>
        <w:t xml:space="preserve"> </w:t>
      </w:r>
      <w:r w:rsidR="2FB0C460" w:rsidRPr="00E5757F">
        <w:rPr>
          <w:rFonts w:eastAsia="system-ui"/>
          <w:color w:val="000000" w:themeColor="text1"/>
        </w:rPr>
        <w:t xml:space="preserve">World Economic Forum (2024). “Global risks report 2024”. Available at </w:t>
      </w:r>
      <w:hyperlink r:id="rId25" w:history="1">
        <w:r w:rsidR="2FB0C460" w:rsidRPr="00E5757F">
          <w:rPr>
            <w:rStyle w:val="Hyperlink"/>
            <w:rFonts w:eastAsia="system-ui"/>
          </w:rPr>
          <w:t>https://www.weforum.org/publications/global-risks-report-2024/</w:t>
        </w:r>
      </w:hyperlink>
      <w:r w:rsidR="2FB0C460" w:rsidRPr="2FB0C460">
        <w:rPr>
          <w:rFonts w:eastAsia="system-ui"/>
          <w:color w:val="000000" w:themeColor="text1"/>
        </w:rPr>
        <w:t xml:space="preserve"> </w:t>
      </w:r>
    </w:p>
  </w:footnote>
  <w:footnote w:id="42">
    <w:p w14:paraId="5F718D10" w14:textId="513B12E4" w:rsidR="0017023C" w:rsidRPr="00E5757F" w:rsidRDefault="0017023C" w:rsidP="00E5757F">
      <w:pPr>
        <w:spacing w:before="0" w:after="0"/>
        <w:jc w:val="both"/>
        <w:rPr>
          <w:sz w:val="20"/>
          <w:szCs w:val="20"/>
        </w:rPr>
      </w:pPr>
      <w:r w:rsidRPr="00E5757F">
        <w:rPr>
          <w:rStyle w:val="FootnoteReference"/>
          <w:sz w:val="20"/>
          <w:szCs w:val="20"/>
        </w:rPr>
        <w:footnoteRef/>
      </w:r>
      <w:r w:rsidR="2FB0C460" w:rsidRPr="00E5757F">
        <w:rPr>
          <w:sz w:val="20"/>
          <w:szCs w:val="20"/>
        </w:rPr>
        <w:t xml:space="preserve"> </w:t>
      </w:r>
      <w:r w:rsidR="2FB0C460" w:rsidRPr="00E5757F">
        <w:rPr>
          <w:rFonts w:eastAsiaTheme="minorEastAsia"/>
          <w:sz w:val="20"/>
          <w:szCs w:val="20"/>
        </w:rPr>
        <w:t xml:space="preserve">World Health Organization Regional Office for Europe (2017). “Report of the Sixth Ministerial Conference on Environment and Health. Ostrava, Czech Republic 13–15 June 2017”. Available at </w:t>
      </w:r>
      <w:hyperlink r:id="rId26">
        <w:r w:rsidR="2FB0C460" w:rsidRPr="00E5757F">
          <w:rPr>
            <w:rStyle w:val="Hyperlink"/>
            <w:rFonts w:eastAsiaTheme="minorEastAsia"/>
            <w:sz w:val="20"/>
            <w:szCs w:val="20"/>
          </w:rPr>
          <w:t>https://iris.who.int/bitstream/handle/10665/346131/WHO-EURO-2017-3008-42766-59662-eng.pdf?sequence=2</w:t>
        </w:r>
      </w:hyperlink>
    </w:p>
  </w:footnote>
  <w:footnote w:id="43">
    <w:p w14:paraId="223D7AC0" w14:textId="03945410" w:rsidR="0017023C" w:rsidRPr="00E5757F" w:rsidRDefault="0017023C" w:rsidP="00E5757F">
      <w:pPr>
        <w:pStyle w:val="FootnoteText"/>
        <w:jc w:val="both"/>
      </w:pPr>
      <w:r w:rsidRPr="00E5757F">
        <w:rPr>
          <w:rStyle w:val="FootnoteReference"/>
        </w:rPr>
        <w:footnoteRef/>
      </w:r>
      <w:r w:rsidR="2FB0C460" w:rsidRPr="00E5757F">
        <w:t xml:space="preserve"> Association of Schools of Public Health in the European Region (ASPHER) (2021). “ASPHER Climate and Health Competencies for Public Health Professionals in Europe”. Available at </w:t>
      </w:r>
      <w:hyperlink r:id="rId27" w:history="1">
        <w:r w:rsidR="2FB0C460" w:rsidRPr="00E5757F">
          <w:rPr>
            <w:rStyle w:val="Hyperlink"/>
          </w:rPr>
          <w:t>https://www.aspher.org/download/882/25-10-2021-final_aspher-climate-and-health-competencies-for-public-health-professionals-in-europe.pdf</w:t>
        </w:r>
      </w:hyperlink>
      <w:r w:rsidR="2FB0C460" w:rsidRPr="00E5757F">
        <w:t xml:space="preserve"> </w:t>
      </w:r>
    </w:p>
  </w:footnote>
  <w:footnote w:id="44">
    <w:p w14:paraId="2B9AECB8" w14:textId="565ADE0A" w:rsidR="0017023C" w:rsidRPr="00E5757F" w:rsidRDefault="0017023C" w:rsidP="00E5757F">
      <w:pPr>
        <w:pStyle w:val="FootnoteText"/>
        <w:jc w:val="both"/>
        <w:rPr>
          <w:lang w:val="en-US"/>
        </w:rPr>
      </w:pPr>
      <w:r w:rsidRPr="00E5757F">
        <w:rPr>
          <w:rStyle w:val="FootnoteReference"/>
        </w:rPr>
        <w:footnoteRef/>
      </w:r>
      <w:r w:rsidRPr="00E5757F">
        <w:t xml:space="preserve"> </w:t>
      </w:r>
      <w:r w:rsidR="00D72562" w:rsidRPr="00E5757F">
        <w:t>Idem.</w:t>
      </w:r>
      <w:r w:rsidRPr="00E5757F">
        <w:t xml:space="preserve"> </w:t>
      </w:r>
    </w:p>
  </w:footnote>
  <w:footnote w:id="45">
    <w:p w14:paraId="4E6344B4" w14:textId="75D19176" w:rsidR="0D7A0839" w:rsidRPr="00F92EF0" w:rsidRDefault="0D7A0839" w:rsidP="00E5757F">
      <w:pPr>
        <w:pStyle w:val="FootnoteText"/>
        <w:jc w:val="both"/>
        <w:rPr>
          <w:rFonts w:eastAsiaTheme="minorEastAsia"/>
          <w:highlight w:val="yellow"/>
          <w:lang w:val="nl-NL"/>
        </w:rPr>
      </w:pPr>
      <w:r w:rsidRPr="00E5757F">
        <w:rPr>
          <w:rStyle w:val="FootnoteReference"/>
        </w:rPr>
        <w:footnoteRef/>
      </w:r>
      <w:r w:rsidRPr="00E5757F">
        <w:t xml:space="preserve"> </w:t>
      </w:r>
      <w:r w:rsidR="00DA0B1E" w:rsidRPr="00E5757F">
        <w:rPr>
          <w:rFonts w:eastAsiaTheme="minorEastAsia" w:cstheme="minorHAnsi"/>
        </w:rPr>
        <w:t xml:space="preserve">European Commission, Directorate-General for Employment, Social </w:t>
      </w:r>
      <w:proofErr w:type="gramStart"/>
      <w:r w:rsidR="00DA0B1E" w:rsidRPr="00E5757F">
        <w:rPr>
          <w:rFonts w:eastAsiaTheme="minorEastAsia" w:cstheme="minorHAnsi"/>
        </w:rPr>
        <w:t>Affairs</w:t>
      </w:r>
      <w:proofErr w:type="gramEnd"/>
      <w:r w:rsidR="00DA0B1E" w:rsidRPr="00E5757F">
        <w:rPr>
          <w:rFonts w:eastAsiaTheme="minorEastAsia" w:cstheme="minorHAnsi"/>
        </w:rPr>
        <w:t xml:space="preserve"> and Inclusion (2023), op. cit.</w:t>
      </w:r>
    </w:p>
  </w:footnote>
  <w:footnote w:id="46">
    <w:p w14:paraId="2C34F578" w14:textId="7CD4AA1E" w:rsidR="0D7A0839" w:rsidRPr="00E5757F" w:rsidRDefault="0D7A0839" w:rsidP="00E5757F">
      <w:pPr>
        <w:pStyle w:val="FootnoteText"/>
        <w:jc w:val="both"/>
        <w:rPr>
          <w:rFonts w:ascii="Calibri" w:eastAsia="Calibri" w:hAnsi="Calibri" w:cs="Calibri"/>
          <w:color w:val="000000" w:themeColor="text1"/>
          <w:highlight w:val="yellow"/>
        </w:rPr>
      </w:pPr>
      <w:r w:rsidRPr="00E5757F">
        <w:rPr>
          <w:rStyle w:val="FootnoteReference"/>
        </w:rPr>
        <w:footnoteRef/>
      </w:r>
      <w:r w:rsidR="2FB0C460" w:rsidRPr="00E5757F">
        <w:t xml:space="preserve"> </w:t>
      </w:r>
      <w:r w:rsidR="2FB0C460" w:rsidRPr="00E5757F">
        <w:rPr>
          <w:rFonts w:ascii="Calibri" w:eastAsia="Calibri" w:hAnsi="Calibri" w:cs="Calibri"/>
          <w:color w:val="000000" w:themeColor="text1"/>
        </w:rPr>
        <w:t xml:space="preserve">World Health Organization (2019). “Delivered by women, led by men: A gender and equity analysis of the global health and social workforce”. Available at </w:t>
      </w:r>
      <w:hyperlink r:id="rId28" w:history="1">
        <w:r w:rsidR="2FB0C460" w:rsidRPr="00E5757F">
          <w:rPr>
            <w:rStyle w:val="Hyperlink"/>
            <w:rFonts w:ascii="Calibri" w:eastAsia="Calibri" w:hAnsi="Calibri" w:cs="Calibri"/>
          </w:rPr>
          <w:t>https://www.who.int/publications/i/item/9789241515467</w:t>
        </w:r>
      </w:hyperlink>
      <w:r w:rsidR="2FB0C460" w:rsidRPr="00E5757F">
        <w:rPr>
          <w:rFonts w:ascii="Calibri" w:eastAsia="Calibri" w:hAnsi="Calibri" w:cs="Calibri"/>
          <w:color w:val="000000" w:themeColor="text1"/>
        </w:rPr>
        <w:t xml:space="preserve">. </w:t>
      </w:r>
    </w:p>
  </w:footnote>
  <w:footnote w:id="47">
    <w:p w14:paraId="777999A3" w14:textId="2E0A7C9D" w:rsidR="0D7A0839" w:rsidRPr="00E5757F" w:rsidRDefault="0D7A0839" w:rsidP="00E5757F">
      <w:pPr>
        <w:spacing w:before="0" w:after="0"/>
        <w:jc w:val="both"/>
        <w:rPr>
          <w:rFonts w:ascii="Calibri" w:eastAsia="Calibri" w:hAnsi="Calibri" w:cs="Calibri"/>
          <w:color w:val="000000" w:themeColor="text1"/>
          <w:sz w:val="20"/>
          <w:szCs w:val="20"/>
        </w:rPr>
      </w:pPr>
      <w:r w:rsidRPr="00E5757F">
        <w:rPr>
          <w:rStyle w:val="FootnoteReference"/>
          <w:sz w:val="20"/>
          <w:szCs w:val="20"/>
        </w:rPr>
        <w:footnoteRef/>
      </w:r>
      <w:r w:rsidR="2FB0C460" w:rsidRPr="00E5757F">
        <w:rPr>
          <w:sz w:val="20"/>
          <w:szCs w:val="20"/>
        </w:rPr>
        <w:t xml:space="preserve"> </w:t>
      </w:r>
      <w:r w:rsidR="2FB0C460" w:rsidRPr="00E5757F">
        <w:rPr>
          <w:rFonts w:ascii="Calibri" w:eastAsia="Calibri" w:hAnsi="Calibri" w:cs="Calibri"/>
          <w:color w:val="000000" w:themeColor="text1"/>
          <w:sz w:val="20"/>
          <w:szCs w:val="20"/>
        </w:rPr>
        <w:t xml:space="preserve">Women in Global Health (2023). “The Great Resignation: Why Women Health Workers Are Leaving”. Available at </w:t>
      </w:r>
      <w:hyperlink r:id="rId29">
        <w:r w:rsidR="2FB0C460" w:rsidRPr="00E5757F">
          <w:rPr>
            <w:rStyle w:val="Hyperlink"/>
            <w:rFonts w:ascii="Calibri" w:eastAsia="Calibri" w:hAnsi="Calibri" w:cs="Calibri"/>
            <w:sz w:val="20"/>
            <w:szCs w:val="20"/>
          </w:rPr>
          <w:t>https://womeningh.org/great-resignation/</w:t>
        </w:r>
      </w:hyperlink>
    </w:p>
  </w:footnote>
  <w:footnote w:id="48">
    <w:p w14:paraId="7062D442" w14:textId="0DF12D6F" w:rsidR="0D7A0839" w:rsidRPr="00E5757F" w:rsidRDefault="0D7A0839" w:rsidP="00E5757F">
      <w:pPr>
        <w:spacing w:before="0" w:after="0"/>
        <w:jc w:val="both"/>
        <w:rPr>
          <w:rFonts w:ascii="Calibri" w:eastAsia="Calibri" w:hAnsi="Calibri" w:cs="Calibri"/>
          <w:color w:val="000000" w:themeColor="text1"/>
          <w:sz w:val="20"/>
          <w:szCs w:val="20"/>
        </w:rPr>
      </w:pPr>
      <w:r w:rsidRPr="00E5757F">
        <w:rPr>
          <w:rStyle w:val="FootnoteReference"/>
          <w:sz w:val="20"/>
          <w:szCs w:val="20"/>
        </w:rPr>
        <w:footnoteRef/>
      </w:r>
      <w:r w:rsidRPr="00E5757F">
        <w:rPr>
          <w:sz w:val="20"/>
          <w:szCs w:val="20"/>
        </w:rPr>
        <w:t xml:space="preserve"> </w:t>
      </w:r>
      <w:r w:rsidR="00A962AE" w:rsidRPr="00E5757F">
        <w:rPr>
          <w:rFonts w:ascii="Calibri" w:eastAsia="Calibri" w:hAnsi="Calibri" w:cs="Calibri"/>
          <w:color w:val="000000" w:themeColor="text1"/>
          <w:sz w:val="20"/>
          <w:szCs w:val="20"/>
        </w:rPr>
        <w:t xml:space="preserve">European Institute for Gender Equality (2021). “Gender inequalities in care and consequences for the labour market”. Available at </w:t>
      </w:r>
      <w:hyperlink r:id="rId30" w:history="1">
        <w:r w:rsidR="00A962AE" w:rsidRPr="00E5757F">
          <w:rPr>
            <w:rStyle w:val="Hyperlink"/>
            <w:rFonts w:ascii="Calibri" w:eastAsia="Calibri" w:hAnsi="Calibri" w:cs="Calibri"/>
            <w:sz w:val="20"/>
            <w:szCs w:val="20"/>
          </w:rPr>
          <w:t>https://eige.europa.eu/publications-resources/publications/gender-inequalities-care-and-consequences-labour-market</w:t>
        </w:r>
      </w:hyperlink>
      <w:r w:rsidR="00A962AE" w:rsidRPr="00E5757F">
        <w:rPr>
          <w:rFonts w:ascii="Calibri" w:eastAsia="Calibri" w:hAnsi="Calibri" w:cs="Calibri"/>
          <w:color w:val="000000" w:themeColor="text1"/>
          <w:sz w:val="20"/>
          <w:szCs w:val="20"/>
        </w:rPr>
        <w:t xml:space="preserve"> </w:t>
      </w:r>
    </w:p>
  </w:footnote>
  <w:footnote w:id="49">
    <w:p w14:paraId="78184C4B" w14:textId="70FB2FB5" w:rsidR="0D7A0839" w:rsidRPr="00E5757F" w:rsidRDefault="0D7A0839" w:rsidP="00E5757F">
      <w:pPr>
        <w:spacing w:before="0" w:after="0"/>
        <w:jc w:val="both"/>
        <w:rPr>
          <w:rFonts w:ascii="Calibri" w:eastAsia="Calibri" w:hAnsi="Calibri" w:cs="Calibri"/>
          <w:color w:val="000000" w:themeColor="text1"/>
          <w:sz w:val="20"/>
          <w:szCs w:val="20"/>
        </w:rPr>
      </w:pPr>
      <w:r w:rsidRPr="00E5757F">
        <w:rPr>
          <w:rStyle w:val="FootnoteReference"/>
          <w:sz w:val="20"/>
          <w:szCs w:val="20"/>
        </w:rPr>
        <w:footnoteRef/>
      </w:r>
      <w:r w:rsidR="2FB0C460" w:rsidRPr="00E5757F">
        <w:rPr>
          <w:sz w:val="20"/>
          <w:szCs w:val="20"/>
        </w:rPr>
        <w:t xml:space="preserve"> </w:t>
      </w:r>
      <w:r w:rsidR="2FB0C460" w:rsidRPr="00E5757F">
        <w:rPr>
          <w:rFonts w:ascii="Calibri" w:eastAsia="Calibri" w:hAnsi="Calibri" w:cs="Calibri"/>
          <w:color w:val="000000" w:themeColor="text1"/>
          <w:sz w:val="20"/>
          <w:szCs w:val="20"/>
        </w:rPr>
        <w:t xml:space="preserve">Morgan R. et al. (2022). “Women healthcare workers’ experiences during COVID-19 and other crises: A scoping review”. </w:t>
      </w:r>
      <w:r w:rsidR="2FB0C460" w:rsidRPr="00E5757F">
        <w:rPr>
          <w:rFonts w:ascii="Calibri" w:eastAsia="Calibri" w:hAnsi="Calibri" w:cs="Calibri"/>
          <w:i/>
          <w:iCs/>
          <w:color w:val="000000" w:themeColor="text1"/>
          <w:sz w:val="20"/>
          <w:szCs w:val="20"/>
        </w:rPr>
        <w:t>International Journal of Nursing Studies Advances.</w:t>
      </w:r>
      <w:r w:rsidR="2FB0C460" w:rsidRPr="00E5757F">
        <w:rPr>
          <w:rFonts w:ascii="Calibri" w:eastAsia="Calibri" w:hAnsi="Calibri" w:cs="Calibri"/>
          <w:color w:val="000000" w:themeColor="text1"/>
          <w:sz w:val="20"/>
          <w:szCs w:val="20"/>
        </w:rPr>
        <w:t xml:space="preserve"> 4. Available at </w:t>
      </w:r>
      <w:hyperlink r:id="rId31" w:history="1">
        <w:r w:rsidR="2FB0C460" w:rsidRPr="00E5757F">
          <w:rPr>
            <w:rStyle w:val="Hyperlink"/>
            <w:rFonts w:ascii="Calibri" w:eastAsia="Calibri" w:hAnsi="Calibri" w:cs="Calibri"/>
            <w:sz w:val="20"/>
            <w:szCs w:val="20"/>
          </w:rPr>
          <w:t>https://doi.org/10.1016/j.ijnsa.2022.100066</w:t>
        </w:r>
      </w:hyperlink>
      <w:r w:rsidR="2FB0C460" w:rsidRPr="00E5757F">
        <w:rPr>
          <w:rFonts w:ascii="Calibri" w:eastAsia="Calibri" w:hAnsi="Calibri" w:cs="Calibri"/>
          <w:color w:val="000000" w:themeColor="text1"/>
          <w:sz w:val="20"/>
          <w:szCs w:val="20"/>
        </w:rPr>
        <w:t xml:space="preserve"> </w:t>
      </w:r>
    </w:p>
  </w:footnote>
  <w:footnote w:id="50">
    <w:p w14:paraId="1F8A1925" w14:textId="5798157A" w:rsidR="0D7A0839" w:rsidRPr="00E5757F" w:rsidRDefault="0D7A0839" w:rsidP="00E5757F">
      <w:pPr>
        <w:spacing w:before="0" w:after="0"/>
        <w:jc w:val="both"/>
        <w:rPr>
          <w:rFonts w:ascii="Calibri" w:eastAsia="Calibri" w:hAnsi="Calibri" w:cs="Calibri"/>
          <w:color w:val="000000" w:themeColor="text1"/>
          <w:sz w:val="20"/>
          <w:szCs w:val="20"/>
          <w:highlight w:val="yellow"/>
        </w:rPr>
      </w:pPr>
      <w:r w:rsidRPr="00E5757F">
        <w:rPr>
          <w:rStyle w:val="FootnoteReference"/>
          <w:sz w:val="20"/>
          <w:szCs w:val="20"/>
        </w:rPr>
        <w:footnoteRef/>
      </w:r>
      <w:r w:rsidRPr="00E5757F">
        <w:rPr>
          <w:sz w:val="20"/>
          <w:szCs w:val="20"/>
        </w:rPr>
        <w:t xml:space="preserve"> </w:t>
      </w:r>
      <w:r w:rsidRPr="00E5757F">
        <w:rPr>
          <w:rFonts w:ascii="Calibri" w:eastAsia="Calibri" w:hAnsi="Calibri" w:cs="Calibri"/>
          <w:color w:val="000000" w:themeColor="text1"/>
          <w:sz w:val="20"/>
          <w:szCs w:val="20"/>
        </w:rPr>
        <w:t xml:space="preserve">Women in Global Health (2023), </w:t>
      </w:r>
      <w:r w:rsidR="004D5B6B" w:rsidRPr="00E5757F">
        <w:rPr>
          <w:rFonts w:ascii="Calibri" w:eastAsia="Calibri" w:hAnsi="Calibri" w:cs="Calibri"/>
          <w:color w:val="000000" w:themeColor="text1"/>
          <w:sz w:val="20"/>
          <w:szCs w:val="20"/>
        </w:rPr>
        <w:t>op. cit.</w:t>
      </w:r>
    </w:p>
  </w:footnote>
  <w:footnote w:id="51">
    <w:p w14:paraId="33B97AA1" w14:textId="6C39DB43" w:rsidR="0D7A0839" w:rsidRPr="00E5757F" w:rsidRDefault="0D7A0839" w:rsidP="00E5757F">
      <w:pPr>
        <w:spacing w:before="0" w:after="0"/>
        <w:jc w:val="both"/>
        <w:rPr>
          <w:rFonts w:ascii="Calibri" w:eastAsia="Calibri" w:hAnsi="Calibri" w:cs="Calibri"/>
          <w:color w:val="000000" w:themeColor="text1"/>
          <w:sz w:val="20"/>
          <w:szCs w:val="20"/>
          <w:highlight w:val="yellow"/>
        </w:rPr>
      </w:pPr>
      <w:r w:rsidRPr="00E5757F">
        <w:rPr>
          <w:rStyle w:val="FootnoteReference"/>
          <w:sz w:val="20"/>
          <w:szCs w:val="20"/>
        </w:rPr>
        <w:footnoteRef/>
      </w:r>
      <w:r w:rsidR="2FB0C460" w:rsidRPr="00E5757F">
        <w:rPr>
          <w:sz w:val="20"/>
          <w:szCs w:val="20"/>
        </w:rPr>
        <w:t xml:space="preserve"> </w:t>
      </w:r>
      <w:r w:rsidR="2FB0C460" w:rsidRPr="00E5757F">
        <w:rPr>
          <w:rFonts w:ascii="Calibri" w:eastAsia="Calibri" w:hAnsi="Calibri" w:cs="Calibri"/>
          <w:color w:val="000000" w:themeColor="text1"/>
          <w:sz w:val="20"/>
          <w:szCs w:val="20"/>
        </w:rPr>
        <w:t xml:space="preserve">World Health Organization and International Labour Organization (2022). “The gender pay gap in the health and care sector. A global analysis in the time of COVID-19". Available at </w:t>
      </w:r>
      <w:hyperlink r:id="rId32" w:history="1">
        <w:r w:rsidR="2FB0C460" w:rsidRPr="00E5757F">
          <w:rPr>
            <w:rStyle w:val="Hyperlink"/>
            <w:rFonts w:ascii="Calibri" w:eastAsia="Calibri" w:hAnsi="Calibri" w:cs="Calibri"/>
            <w:sz w:val="20"/>
            <w:szCs w:val="20"/>
          </w:rPr>
          <w:t>https://www.who.int/publications/i/item/9789240052895</w:t>
        </w:r>
      </w:hyperlink>
      <w:r w:rsidR="2FB0C460" w:rsidRPr="00E5757F">
        <w:rPr>
          <w:rFonts w:ascii="Calibri" w:eastAsia="Calibri" w:hAnsi="Calibri" w:cs="Calibri"/>
          <w:color w:val="000000" w:themeColor="text1"/>
          <w:sz w:val="20"/>
          <w:szCs w:val="20"/>
        </w:rPr>
        <w:t xml:space="preserve">. </w:t>
      </w:r>
    </w:p>
  </w:footnote>
  <w:footnote w:id="52">
    <w:p w14:paraId="00F074FA" w14:textId="27AFEF46" w:rsidR="0D7A0839" w:rsidRPr="00E5757F" w:rsidRDefault="0D7A0839" w:rsidP="00E5757F">
      <w:pPr>
        <w:spacing w:before="0" w:after="0"/>
        <w:jc w:val="both"/>
        <w:rPr>
          <w:rFonts w:ascii="Calibri" w:eastAsia="Calibri" w:hAnsi="Calibri" w:cs="Calibri"/>
          <w:color w:val="000000" w:themeColor="text1"/>
          <w:sz w:val="20"/>
          <w:szCs w:val="20"/>
          <w:highlight w:val="yellow"/>
        </w:rPr>
      </w:pPr>
      <w:r w:rsidRPr="00E5757F">
        <w:rPr>
          <w:rStyle w:val="FootnoteReference"/>
          <w:sz w:val="20"/>
          <w:szCs w:val="20"/>
        </w:rPr>
        <w:footnoteRef/>
      </w:r>
      <w:r w:rsidRPr="00E5757F">
        <w:rPr>
          <w:sz w:val="20"/>
          <w:szCs w:val="20"/>
        </w:rPr>
        <w:t xml:space="preserve"> </w:t>
      </w:r>
      <w:r w:rsidRPr="00E5757F">
        <w:rPr>
          <w:rFonts w:ascii="Calibri" w:eastAsia="Calibri" w:hAnsi="Calibri" w:cs="Calibri"/>
          <w:color w:val="000000" w:themeColor="text1"/>
          <w:sz w:val="20"/>
          <w:szCs w:val="20"/>
        </w:rPr>
        <w:t xml:space="preserve">European Institute for Gender Equality (2021), </w:t>
      </w:r>
      <w:r w:rsidR="00A962AE" w:rsidRPr="00E5757F">
        <w:rPr>
          <w:rFonts w:ascii="Calibri" w:eastAsia="Calibri" w:hAnsi="Calibri" w:cs="Calibri"/>
          <w:color w:val="000000" w:themeColor="text1"/>
          <w:sz w:val="20"/>
          <w:szCs w:val="20"/>
        </w:rPr>
        <w:t xml:space="preserve">op. cit. </w:t>
      </w:r>
    </w:p>
  </w:footnote>
  <w:footnote w:id="53">
    <w:p w14:paraId="1FDF0744" w14:textId="18140653" w:rsidR="0D7A0839" w:rsidRPr="00E5757F" w:rsidRDefault="0D7A0839" w:rsidP="00E5757F">
      <w:pPr>
        <w:spacing w:before="0" w:after="0"/>
        <w:jc w:val="both"/>
        <w:rPr>
          <w:rFonts w:ascii="Calibri" w:eastAsia="Calibri" w:hAnsi="Calibri" w:cs="Calibri"/>
          <w:color w:val="000000" w:themeColor="text1"/>
          <w:sz w:val="20"/>
          <w:szCs w:val="20"/>
          <w:highlight w:val="yellow"/>
        </w:rPr>
      </w:pPr>
      <w:r w:rsidRPr="00E5757F">
        <w:rPr>
          <w:rStyle w:val="FootnoteReference"/>
          <w:sz w:val="20"/>
          <w:szCs w:val="20"/>
        </w:rPr>
        <w:footnoteRef/>
      </w:r>
      <w:r w:rsidRPr="00E5757F">
        <w:rPr>
          <w:sz w:val="20"/>
          <w:szCs w:val="20"/>
        </w:rPr>
        <w:t xml:space="preserve"> </w:t>
      </w:r>
      <w:r w:rsidRPr="00E5757F">
        <w:rPr>
          <w:rFonts w:ascii="Calibri" w:eastAsia="Calibri" w:hAnsi="Calibri" w:cs="Calibri"/>
          <w:color w:val="000000" w:themeColor="text1"/>
          <w:sz w:val="20"/>
          <w:szCs w:val="20"/>
        </w:rPr>
        <w:t xml:space="preserve">World Health Organization and International Labour Organization (2022), </w:t>
      </w:r>
      <w:r w:rsidR="00133129" w:rsidRPr="00E5757F">
        <w:rPr>
          <w:rFonts w:ascii="Calibri" w:eastAsia="Calibri" w:hAnsi="Calibri" w:cs="Calibri"/>
          <w:color w:val="000000" w:themeColor="text1"/>
          <w:sz w:val="20"/>
          <w:szCs w:val="20"/>
        </w:rPr>
        <w:t>op. cit.</w:t>
      </w:r>
    </w:p>
  </w:footnote>
  <w:footnote w:id="54">
    <w:p w14:paraId="589447FE" w14:textId="5CFF9AD4" w:rsidR="0D7A0839" w:rsidRPr="00DA0B1E" w:rsidRDefault="0D7A0839" w:rsidP="00E5757F">
      <w:pPr>
        <w:spacing w:before="0" w:after="0"/>
        <w:jc w:val="both"/>
        <w:rPr>
          <w:rFonts w:ascii="Calibri" w:eastAsia="Calibri" w:hAnsi="Calibri" w:cs="Calibri"/>
          <w:color w:val="000000" w:themeColor="text1"/>
          <w:sz w:val="20"/>
          <w:szCs w:val="20"/>
        </w:rPr>
      </w:pPr>
      <w:r w:rsidRPr="00E5757F">
        <w:rPr>
          <w:rStyle w:val="FootnoteReference"/>
          <w:sz w:val="20"/>
          <w:szCs w:val="20"/>
        </w:rPr>
        <w:footnoteRef/>
      </w:r>
      <w:r w:rsidRPr="00E5757F">
        <w:rPr>
          <w:sz w:val="20"/>
          <w:szCs w:val="20"/>
        </w:rPr>
        <w:t xml:space="preserve"> </w:t>
      </w:r>
      <w:r w:rsidRPr="00E5757F">
        <w:rPr>
          <w:rFonts w:ascii="Calibri" w:eastAsia="Calibri" w:hAnsi="Calibri" w:cs="Calibri"/>
          <w:color w:val="000000" w:themeColor="text1"/>
          <w:sz w:val="20"/>
          <w:szCs w:val="20"/>
        </w:rPr>
        <w:t xml:space="preserve">European Institute for Gender Equality (2021), </w:t>
      </w:r>
      <w:r w:rsidR="00A962AE" w:rsidRPr="00E5757F">
        <w:rPr>
          <w:rFonts w:ascii="Calibri" w:eastAsia="Calibri" w:hAnsi="Calibri" w:cs="Calibri"/>
          <w:color w:val="000000" w:themeColor="text1"/>
          <w:sz w:val="20"/>
          <w:szCs w:val="20"/>
        </w:rPr>
        <w:t>op. cit.</w:t>
      </w:r>
      <w:r w:rsidR="00A962AE" w:rsidRPr="00DA0B1E">
        <w:rPr>
          <w:rFonts w:ascii="Calibri" w:eastAsia="Calibri" w:hAnsi="Calibri" w:cs="Calibri"/>
          <w:color w:val="000000" w:themeColor="text1"/>
          <w:sz w:val="20"/>
          <w:szCs w:val="20"/>
        </w:rPr>
        <w:t xml:space="preserve"> </w:t>
      </w:r>
    </w:p>
  </w:footnote>
  <w:footnote w:id="55">
    <w:p w14:paraId="093737DF" w14:textId="28BCFCE7" w:rsidR="0D7A0839" w:rsidRPr="00E5757F" w:rsidRDefault="0D7A0839" w:rsidP="00E5757F">
      <w:pPr>
        <w:pStyle w:val="FootnoteText"/>
        <w:jc w:val="both"/>
        <w:rPr>
          <w:rFonts w:eastAsiaTheme="minorEastAsia"/>
          <w:lang w:val="nl-NL"/>
        </w:rPr>
      </w:pPr>
      <w:r w:rsidRPr="00E5757F">
        <w:rPr>
          <w:rStyle w:val="FootnoteReference"/>
        </w:rPr>
        <w:footnoteRef/>
      </w:r>
      <w:r w:rsidRPr="00E5757F">
        <w:t xml:space="preserve"> </w:t>
      </w:r>
      <w:r w:rsidR="00DA0B1E" w:rsidRPr="00E5757F">
        <w:rPr>
          <w:rFonts w:eastAsiaTheme="minorEastAsia" w:cstheme="minorHAnsi"/>
        </w:rPr>
        <w:t xml:space="preserve">European Commission, Directorate-General for Employment, Social </w:t>
      </w:r>
      <w:proofErr w:type="gramStart"/>
      <w:r w:rsidR="00DA0B1E" w:rsidRPr="00E5757F">
        <w:rPr>
          <w:rFonts w:eastAsiaTheme="minorEastAsia" w:cstheme="minorHAnsi"/>
        </w:rPr>
        <w:t>Affairs</w:t>
      </w:r>
      <w:proofErr w:type="gramEnd"/>
      <w:r w:rsidR="00DA0B1E" w:rsidRPr="00E5757F">
        <w:rPr>
          <w:rFonts w:eastAsiaTheme="minorEastAsia" w:cstheme="minorHAnsi"/>
        </w:rPr>
        <w:t xml:space="preserve"> and Inclusion (2023), op. cit.</w:t>
      </w:r>
    </w:p>
  </w:footnote>
  <w:footnote w:id="56">
    <w:p w14:paraId="08A4D8A2" w14:textId="46BB90E6" w:rsidR="00B91521" w:rsidRPr="00E5757F" w:rsidRDefault="00B91521" w:rsidP="00E5757F">
      <w:pPr>
        <w:pStyle w:val="FootnoteText"/>
        <w:jc w:val="both"/>
        <w:rPr>
          <w:lang w:val="nl-NL"/>
        </w:rPr>
      </w:pPr>
      <w:r w:rsidRPr="00E5757F">
        <w:rPr>
          <w:rStyle w:val="FootnoteReference"/>
        </w:rPr>
        <w:footnoteRef/>
      </w:r>
      <w:r w:rsidR="2FB0C460" w:rsidRPr="00E5757F">
        <w:rPr>
          <w:lang w:val="nl-NL"/>
        </w:rPr>
        <w:t xml:space="preserve"> </w:t>
      </w:r>
      <w:r w:rsidR="2FB0C460" w:rsidRPr="00E5757F">
        <w:rPr>
          <w:lang w:val="nl-NL"/>
        </w:rPr>
        <w:t>Zapata T. et al. (2023), op. cit.</w:t>
      </w:r>
    </w:p>
  </w:footnote>
  <w:footnote w:id="57">
    <w:p w14:paraId="0B54B418" w14:textId="2B6189BB" w:rsidR="750DF1FB" w:rsidRPr="00535D51" w:rsidRDefault="750DF1FB" w:rsidP="002108CA">
      <w:pPr>
        <w:spacing w:before="0" w:after="0"/>
        <w:rPr>
          <w:rFonts w:ascii="Calibri" w:eastAsia="Calibri" w:hAnsi="Calibri" w:cs="Calibri"/>
          <w:sz w:val="20"/>
          <w:szCs w:val="20"/>
          <w:lang w:val="fr-BE"/>
        </w:rPr>
      </w:pPr>
      <w:r w:rsidRPr="00E5757F">
        <w:rPr>
          <w:rStyle w:val="FootnoteReference"/>
          <w:sz w:val="20"/>
          <w:szCs w:val="20"/>
        </w:rPr>
        <w:footnoteRef/>
      </w:r>
      <w:r w:rsidR="2FB0C460" w:rsidRPr="00E5757F">
        <w:rPr>
          <w:sz w:val="20"/>
          <w:szCs w:val="20"/>
        </w:rPr>
        <w:t xml:space="preserve"> </w:t>
      </w:r>
      <w:r w:rsidR="2FB0C460" w:rsidRPr="00E5757F">
        <w:rPr>
          <w:rFonts w:ascii="Calibri" w:eastAsia="Calibri" w:hAnsi="Calibri" w:cs="Calibri"/>
          <w:sz w:val="20"/>
          <w:szCs w:val="20"/>
        </w:rPr>
        <w:t xml:space="preserve">Awan S. et al. (2022). “Suicide in Healthcare Workers: Determinants, Challenges, and the Impact of COVID-19". </w:t>
      </w:r>
      <w:r w:rsidR="2FB0C460" w:rsidRPr="00E5757F">
        <w:rPr>
          <w:rFonts w:ascii="Calibri" w:eastAsia="Calibri" w:hAnsi="Calibri" w:cs="Calibri"/>
          <w:i/>
          <w:iCs/>
          <w:sz w:val="20"/>
          <w:szCs w:val="20"/>
          <w:lang w:val="fr-BE"/>
        </w:rPr>
        <w:t xml:space="preserve">Front. </w:t>
      </w:r>
      <w:proofErr w:type="spellStart"/>
      <w:r w:rsidR="2FB0C460" w:rsidRPr="00E5757F">
        <w:rPr>
          <w:rFonts w:ascii="Calibri" w:eastAsia="Calibri" w:hAnsi="Calibri" w:cs="Calibri"/>
          <w:i/>
          <w:iCs/>
          <w:sz w:val="20"/>
          <w:szCs w:val="20"/>
          <w:lang w:val="fr-BE"/>
        </w:rPr>
        <w:t>Psychiatry</w:t>
      </w:r>
      <w:proofErr w:type="spellEnd"/>
      <w:r w:rsidR="2FB0C460" w:rsidRPr="00E5757F">
        <w:rPr>
          <w:rFonts w:ascii="Calibri" w:eastAsia="Calibri" w:hAnsi="Calibri" w:cs="Calibri"/>
          <w:i/>
          <w:iCs/>
          <w:sz w:val="20"/>
          <w:szCs w:val="20"/>
          <w:lang w:val="fr-BE"/>
        </w:rPr>
        <w:t xml:space="preserve">. </w:t>
      </w:r>
      <w:r w:rsidR="2FB0C460" w:rsidRPr="00535D51">
        <w:rPr>
          <w:rFonts w:ascii="Calibri" w:eastAsia="Calibri" w:hAnsi="Calibri" w:cs="Calibri"/>
          <w:sz w:val="20"/>
          <w:szCs w:val="20"/>
          <w:lang w:val="fr-BE"/>
        </w:rPr>
        <w:t xml:space="preserve">12. </w:t>
      </w:r>
      <w:proofErr w:type="spellStart"/>
      <w:r w:rsidR="2FB0C460" w:rsidRPr="00535D51">
        <w:rPr>
          <w:rFonts w:ascii="Calibri" w:eastAsia="Calibri" w:hAnsi="Calibri" w:cs="Calibri"/>
          <w:sz w:val="20"/>
          <w:szCs w:val="20"/>
          <w:lang w:val="fr-BE"/>
        </w:rPr>
        <w:t>Available</w:t>
      </w:r>
      <w:proofErr w:type="spellEnd"/>
      <w:r w:rsidR="2FB0C460" w:rsidRPr="00535D51">
        <w:rPr>
          <w:rFonts w:ascii="Calibri" w:eastAsia="Calibri" w:hAnsi="Calibri" w:cs="Calibri"/>
          <w:sz w:val="20"/>
          <w:szCs w:val="20"/>
          <w:lang w:val="fr-BE"/>
        </w:rPr>
        <w:t xml:space="preserve"> </w:t>
      </w:r>
      <w:proofErr w:type="gramStart"/>
      <w:r w:rsidR="2FB0C460" w:rsidRPr="00535D51">
        <w:rPr>
          <w:rFonts w:ascii="Calibri" w:eastAsia="Calibri" w:hAnsi="Calibri" w:cs="Calibri"/>
          <w:sz w:val="20"/>
          <w:szCs w:val="20"/>
          <w:lang w:val="fr-BE"/>
        </w:rPr>
        <w:t>at</w:t>
      </w:r>
      <w:r w:rsidR="00E5757F" w:rsidRPr="00535D51">
        <w:rPr>
          <w:rFonts w:ascii="Calibri" w:eastAsia="Calibri" w:hAnsi="Calibri" w:cs="Calibri"/>
          <w:sz w:val="20"/>
          <w:szCs w:val="20"/>
          <w:lang w:val="fr-BE"/>
        </w:rPr>
        <w:t>:</w:t>
      </w:r>
      <w:proofErr w:type="gramEnd"/>
      <w:r w:rsidR="002108CA">
        <w:rPr>
          <w:rFonts w:ascii="Calibri" w:eastAsia="Calibri" w:hAnsi="Calibri" w:cs="Calibri"/>
          <w:sz w:val="20"/>
          <w:szCs w:val="20"/>
          <w:lang w:val="fr-BE"/>
        </w:rPr>
        <w:t xml:space="preserve"> </w:t>
      </w:r>
      <w:hyperlink r:id="rId33" w:history="1">
        <w:r w:rsidR="002108CA" w:rsidRPr="00B05995">
          <w:rPr>
            <w:rStyle w:val="Hyperlink"/>
            <w:rFonts w:ascii="Calibri" w:eastAsia="Calibri" w:hAnsi="Calibri" w:cs="Calibri"/>
            <w:sz w:val="20"/>
            <w:szCs w:val="20"/>
            <w:lang w:val="fr-BE"/>
          </w:rPr>
          <w:t>https://www.frontiersin.org/journals/psychiatry/articles/10.3389/fpsyt.2021.792925/full</w:t>
        </w:r>
      </w:hyperlink>
      <w:r w:rsidR="002108CA">
        <w:rPr>
          <w:rFonts w:ascii="Calibri" w:eastAsia="Calibri" w:hAnsi="Calibri" w:cs="Calibri"/>
          <w:sz w:val="20"/>
          <w:szCs w:val="20"/>
          <w:lang w:val="fr-BE"/>
        </w:rPr>
        <w:t xml:space="preserve"> </w:t>
      </w:r>
    </w:p>
  </w:footnote>
  <w:footnote w:id="58">
    <w:p w14:paraId="7C486214" w14:textId="39C5003C" w:rsidR="00B91521" w:rsidRPr="00E5757F" w:rsidRDefault="00B91521" w:rsidP="00E5757F">
      <w:pPr>
        <w:pStyle w:val="FootnoteText"/>
        <w:jc w:val="both"/>
        <w:rPr>
          <w:lang w:val="fr-BE"/>
        </w:rPr>
      </w:pPr>
      <w:r w:rsidRPr="00E5757F">
        <w:rPr>
          <w:rStyle w:val="FootnoteReference"/>
        </w:rPr>
        <w:footnoteRef/>
      </w:r>
      <w:r w:rsidRPr="00E5757F">
        <w:rPr>
          <w:lang w:val="fr-BE"/>
        </w:rPr>
        <w:t xml:space="preserve"> European Commission (2023)</w:t>
      </w:r>
      <w:r w:rsidR="00AF296F" w:rsidRPr="00E5757F">
        <w:rPr>
          <w:lang w:val="fr-BE"/>
        </w:rPr>
        <w:t xml:space="preserve">, </w:t>
      </w:r>
      <w:r w:rsidR="005B66CA" w:rsidRPr="00E5757F">
        <w:rPr>
          <w:lang w:val="fr-BE"/>
        </w:rPr>
        <w:t xml:space="preserve">op. </w:t>
      </w:r>
      <w:proofErr w:type="spellStart"/>
      <w:proofErr w:type="gramStart"/>
      <w:r w:rsidR="005B66CA" w:rsidRPr="00E5757F">
        <w:rPr>
          <w:lang w:val="fr-BE"/>
        </w:rPr>
        <w:t>cit</w:t>
      </w:r>
      <w:proofErr w:type="spellEnd"/>
      <w:proofErr w:type="gramEnd"/>
      <w:r w:rsidR="005B66CA" w:rsidRPr="00E5757F">
        <w:rPr>
          <w:lang w:val="fr-BE"/>
        </w:rPr>
        <w:t>.</w:t>
      </w:r>
    </w:p>
  </w:footnote>
  <w:footnote w:id="59">
    <w:p w14:paraId="7FE78DC7" w14:textId="6DC9985B" w:rsidR="00B91521" w:rsidRPr="00E5757F" w:rsidRDefault="00B91521" w:rsidP="00E5757F">
      <w:pPr>
        <w:pStyle w:val="FootnoteText"/>
        <w:jc w:val="both"/>
      </w:pPr>
      <w:r w:rsidRPr="00E5757F">
        <w:rPr>
          <w:rStyle w:val="FootnoteReference"/>
        </w:rPr>
        <w:footnoteRef/>
      </w:r>
      <w:r w:rsidR="2FB0C460" w:rsidRPr="00E5757F">
        <w:rPr>
          <w:lang w:val="fr-BE"/>
        </w:rPr>
        <w:t xml:space="preserve"> Failla G. et al. </w:t>
      </w:r>
      <w:r w:rsidR="2FB0C460" w:rsidRPr="00E5757F">
        <w:t xml:space="preserve">(2023). “Impact of the COVID pandemic on mental health and training opportunities of Public Health Residents from 4 European countries: a cross-sectional study”. </w:t>
      </w:r>
      <w:r w:rsidR="2FB0C460" w:rsidRPr="00E5757F">
        <w:rPr>
          <w:i/>
          <w:iCs/>
        </w:rPr>
        <w:t>Front Public Health. 11.</w:t>
      </w:r>
      <w:r w:rsidR="2FB0C460" w:rsidRPr="00E5757F">
        <w:t xml:space="preserve"> Available at</w:t>
      </w:r>
      <w:r w:rsidR="00E5757F">
        <w:t>:</w:t>
      </w:r>
      <w:r w:rsidR="2FB0C460" w:rsidRPr="00E5757F">
        <w:t xml:space="preserve"> </w:t>
      </w:r>
      <w:hyperlink r:id="rId34" w:history="1">
        <w:r w:rsidR="2FB0C460" w:rsidRPr="00E5757F">
          <w:rPr>
            <w:rStyle w:val="Hyperlink"/>
          </w:rPr>
          <w:t>https://www.ncbi.nlm.nih.gov/pmc/articles/PMC10028077/</w:t>
        </w:r>
      </w:hyperlink>
      <w:r w:rsidR="2FB0C460" w:rsidRPr="00E5757F">
        <w:t xml:space="preserve">   </w:t>
      </w:r>
    </w:p>
  </w:footnote>
  <w:footnote w:id="60">
    <w:p w14:paraId="7136F683" w14:textId="6B66F1B8" w:rsidR="00B91521" w:rsidRPr="00E5757F" w:rsidRDefault="00B91521" w:rsidP="00E5757F">
      <w:pPr>
        <w:pStyle w:val="FootnoteText"/>
        <w:jc w:val="both"/>
        <w:rPr>
          <w:highlight w:val="yellow"/>
          <w:lang w:val="en-US"/>
        </w:rPr>
      </w:pPr>
      <w:r w:rsidRPr="00E5757F">
        <w:rPr>
          <w:rStyle w:val="FootnoteReference"/>
        </w:rPr>
        <w:footnoteRef/>
      </w:r>
      <w:r w:rsidRPr="00E5757F">
        <w:rPr>
          <w:lang w:val="en-US"/>
        </w:rPr>
        <w:t xml:space="preserve"> </w:t>
      </w:r>
      <w:r w:rsidR="00914DA2" w:rsidRPr="00E5757F">
        <w:rPr>
          <w:lang w:val="en-US"/>
        </w:rPr>
        <w:t>Idem.</w:t>
      </w:r>
    </w:p>
  </w:footnote>
  <w:footnote w:id="61">
    <w:p w14:paraId="649BFD18" w14:textId="1CB89D5B" w:rsidR="00B91521" w:rsidRPr="002B6E4E" w:rsidRDefault="00B91521" w:rsidP="00E5757F">
      <w:pPr>
        <w:spacing w:before="0" w:after="0"/>
        <w:jc w:val="both"/>
        <w:rPr>
          <w:rFonts w:eastAsiaTheme="minorEastAsia"/>
          <w:sz w:val="20"/>
          <w:szCs w:val="20"/>
          <w:lang w:val="en-US"/>
        </w:rPr>
      </w:pPr>
      <w:r w:rsidRPr="00E5757F">
        <w:rPr>
          <w:rStyle w:val="FootnoteReference"/>
          <w:sz w:val="20"/>
          <w:szCs w:val="20"/>
        </w:rPr>
        <w:footnoteRef/>
      </w:r>
      <w:r w:rsidR="2FB0C460" w:rsidRPr="00E5757F">
        <w:rPr>
          <w:sz w:val="20"/>
          <w:szCs w:val="20"/>
          <w:lang w:val="en-US"/>
        </w:rPr>
        <w:t xml:space="preserve"> </w:t>
      </w:r>
      <w:proofErr w:type="spellStart"/>
      <w:r w:rsidR="2FB0C460" w:rsidRPr="00E5757F">
        <w:rPr>
          <w:rFonts w:eastAsiaTheme="minorEastAsia"/>
          <w:sz w:val="20"/>
          <w:szCs w:val="20"/>
          <w:lang w:val="en-US"/>
        </w:rPr>
        <w:t>Eurocadres</w:t>
      </w:r>
      <w:proofErr w:type="spellEnd"/>
      <w:r w:rsidR="2FB0C460" w:rsidRPr="00E5757F">
        <w:rPr>
          <w:rFonts w:eastAsiaTheme="minorEastAsia"/>
          <w:sz w:val="20"/>
          <w:szCs w:val="20"/>
          <w:lang w:val="en-US"/>
        </w:rPr>
        <w:t xml:space="preserve"> (2022). </w:t>
      </w:r>
      <w:proofErr w:type="gramStart"/>
      <w:r w:rsidR="2FB0C460" w:rsidRPr="00E5757F">
        <w:rPr>
          <w:rFonts w:eastAsiaTheme="minorEastAsia"/>
          <w:sz w:val="20"/>
          <w:szCs w:val="20"/>
          <w:lang w:val="en-US"/>
        </w:rPr>
        <w:t>”European</w:t>
      </w:r>
      <w:proofErr w:type="gramEnd"/>
      <w:r w:rsidR="2FB0C460" w:rsidRPr="00E5757F">
        <w:rPr>
          <w:rFonts w:eastAsiaTheme="minorEastAsia"/>
          <w:sz w:val="20"/>
          <w:szCs w:val="20"/>
          <w:lang w:val="en-US"/>
        </w:rPr>
        <w:t xml:space="preserve"> Parliament calls for a directive on psychosocial risks”. 10 March 2022. Available at </w:t>
      </w:r>
      <w:hyperlink r:id="rId35" w:history="1">
        <w:r w:rsidR="2FB0C460" w:rsidRPr="00E5757F">
          <w:rPr>
            <w:rStyle w:val="Hyperlink"/>
            <w:rFonts w:eastAsiaTheme="minorEastAsia"/>
            <w:sz w:val="20"/>
            <w:szCs w:val="20"/>
            <w:lang w:val="en-US"/>
          </w:rPr>
          <w:t>https://www.eurocadres.eu/news/european-parliament-calls-for-a-directive-on-psychosocial-risks/</w:t>
        </w:r>
      </w:hyperlink>
      <w:r w:rsidR="2FB0C460" w:rsidRPr="002B6E4E">
        <w:rPr>
          <w:rFonts w:eastAsiaTheme="minorEastAsia"/>
          <w:sz w:val="20"/>
          <w:szCs w:val="20"/>
          <w:lang w:val="en-US"/>
        </w:rPr>
        <w:t xml:space="preserve"> </w:t>
      </w:r>
    </w:p>
  </w:footnote>
  <w:footnote w:id="62">
    <w:p w14:paraId="377A0432" w14:textId="1F8B3A5F" w:rsidR="005D54BC" w:rsidRPr="00E5757F" w:rsidRDefault="005D54BC" w:rsidP="00E5757F">
      <w:pPr>
        <w:pStyle w:val="FootnoteText"/>
        <w:jc w:val="both"/>
        <w:rPr>
          <w:lang w:val="es-419"/>
        </w:rPr>
      </w:pPr>
      <w:r w:rsidRPr="00E5757F">
        <w:rPr>
          <w:rStyle w:val="FootnoteReference"/>
        </w:rPr>
        <w:footnoteRef/>
      </w:r>
      <w:r w:rsidR="2FB0C460" w:rsidRPr="00E5757F">
        <w:rPr>
          <w:lang w:val="es-419"/>
        </w:rPr>
        <w:t xml:space="preserve"> Zapata T. et al. (2023), </w:t>
      </w:r>
      <w:proofErr w:type="spellStart"/>
      <w:r w:rsidR="2FB0C460" w:rsidRPr="00E5757F">
        <w:rPr>
          <w:lang w:val="es-419"/>
        </w:rPr>
        <w:t>op</w:t>
      </w:r>
      <w:proofErr w:type="spellEnd"/>
      <w:r w:rsidR="2FB0C460" w:rsidRPr="00E5757F">
        <w:rPr>
          <w:lang w:val="es-419"/>
        </w:rPr>
        <w:t>. cit.</w:t>
      </w:r>
    </w:p>
  </w:footnote>
  <w:footnote w:id="63">
    <w:p w14:paraId="4916A311" w14:textId="1278D7F8" w:rsidR="005D54BC" w:rsidRPr="00E5757F" w:rsidRDefault="005D54BC" w:rsidP="00E5757F">
      <w:pPr>
        <w:pStyle w:val="FootnoteText"/>
        <w:jc w:val="both"/>
        <w:rPr>
          <w:color w:val="0563C1" w:themeColor="hyperlink"/>
          <w:u w:val="single"/>
          <w:lang w:val="en-US"/>
        </w:rPr>
      </w:pPr>
      <w:r w:rsidRPr="00E5757F">
        <w:rPr>
          <w:rStyle w:val="FootnoteReference"/>
        </w:rPr>
        <w:footnoteRef/>
      </w:r>
      <w:r w:rsidR="2FB0C460" w:rsidRPr="00E5757F">
        <w:rPr>
          <w:lang w:val="en-US"/>
        </w:rPr>
        <w:t xml:space="preserve"> Joint Action HEROES (2024). Available at </w:t>
      </w:r>
      <w:hyperlink r:id="rId36" w:history="1">
        <w:r w:rsidR="2FB0C460" w:rsidRPr="00E5757F">
          <w:rPr>
            <w:rStyle w:val="Hyperlink"/>
            <w:lang w:val="en-US"/>
          </w:rPr>
          <w:t>https://healthworkforce.eu/</w:t>
        </w:r>
      </w:hyperlink>
    </w:p>
  </w:footnote>
  <w:footnote w:id="64">
    <w:p w14:paraId="047AACE7" w14:textId="64DA843C" w:rsidR="005D54BC" w:rsidRPr="00E5757F" w:rsidRDefault="005D54BC" w:rsidP="00E5757F">
      <w:pPr>
        <w:spacing w:before="0" w:after="0"/>
        <w:jc w:val="both"/>
        <w:rPr>
          <w:rFonts w:eastAsiaTheme="minorEastAsia"/>
          <w:sz w:val="20"/>
          <w:szCs w:val="20"/>
          <w:lang w:val="en-US"/>
        </w:rPr>
      </w:pPr>
      <w:r w:rsidRPr="00E5757F">
        <w:rPr>
          <w:rStyle w:val="FootnoteReference"/>
          <w:sz w:val="20"/>
          <w:szCs w:val="20"/>
        </w:rPr>
        <w:footnoteRef/>
      </w:r>
      <w:r w:rsidR="2FB0C460" w:rsidRPr="00E5757F">
        <w:rPr>
          <w:sz w:val="20"/>
          <w:szCs w:val="20"/>
          <w:lang w:val="en-US"/>
        </w:rPr>
        <w:t xml:space="preserve"> </w:t>
      </w:r>
      <w:r w:rsidR="2FB0C460" w:rsidRPr="00E5757F">
        <w:rPr>
          <w:rFonts w:eastAsiaTheme="minorEastAsia"/>
          <w:sz w:val="20"/>
          <w:szCs w:val="20"/>
          <w:lang w:val="en-US"/>
        </w:rPr>
        <w:t xml:space="preserve">European Hospital and Healthcare Federation (2024). “Health workforce planning and forecasting expert (SEPEN) network”. Available at </w:t>
      </w:r>
      <w:hyperlink r:id="rId37" w:history="1">
        <w:r w:rsidR="2FB0C460" w:rsidRPr="00E5757F">
          <w:rPr>
            <w:rStyle w:val="Hyperlink"/>
            <w:rFonts w:eastAsiaTheme="minorEastAsia"/>
            <w:sz w:val="20"/>
            <w:szCs w:val="20"/>
            <w:lang w:val="en-US"/>
          </w:rPr>
          <w:t>https://hope.be/EU_Projects/sepen/</w:t>
        </w:r>
      </w:hyperlink>
      <w:r w:rsidR="2FB0C460" w:rsidRPr="00E5757F">
        <w:rPr>
          <w:rFonts w:eastAsiaTheme="minorEastAsia"/>
          <w:sz w:val="20"/>
          <w:szCs w:val="20"/>
          <w:lang w:val="en-US"/>
        </w:rPr>
        <w:t xml:space="preserve"> </w:t>
      </w:r>
    </w:p>
  </w:footnote>
  <w:footnote w:id="65">
    <w:p w14:paraId="611ADF7A" w14:textId="449E9AA6" w:rsidR="005D54BC" w:rsidRPr="00E5757F" w:rsidRDefault="005D54BC" w:rsidP="00E5757F">
      <w:pPr>
        <w:spacing w:before="0" w:after="0"/>
        <w:jc w:val="both"/>
        <w:rPr>
          <w:rFonts w:eastAsiaTheme="minorEastAsia"/>
          <w:sz w:val="20"/>
          <w:szCs w:val="20"/>
          <w:lang w:val="en-US"/>
        </w:rPr>
      </w:pPr>
      <w:r w:rsidRPr="00E5757F">
        <w:rPr>
          <w:rStyle w:val="FootnoteReference"/>
          <w:sz w:val="20"/>
          <w:szCs w:val="20"/>
        </w:rPr>
        <w:footnoteRef/>
      </w:r>
      <w:r w:rsidR="2FB0C460" w:rsidRPr="00E5757F">
        <w:rPr>
          <w:sz w:val="20"/>
          <w:szCs w:val="20"/>
          <w:lang w:val="en-US"/>
        </w:rPr>
        <w:t xml:space="preserve"> </w:t>
      </w:r>
      <w:r w:rsidR="2FB0C460" w:rsidRPr="00E5757F">
        <w:rPr>
          <w:rFonts w:eastAsiaTheme="minorEastAsia"/>
          <w:sz w:val="20"/>
          <w:szCs w:val="20"/>
          <w:lang w:val="en-US"/>
        </w:rPr>
        <w:t>Idem.</w:t>
      </w:r>
    </w:p>
  </w:footnote>
  <w:footnote w:id="66">
    <w:p w14:paraId="17FC84EE" w14:textId="249464EC" w:rsidR="005D54BC" w:rsidRPr="00E5757F" w:rsidRDefault="005D54BC" w:rsidP="00E5757F">
      <w:pPr>
        <w:pStyle w:val="FootnoteText"/>
        <w:jc w:val="both"/>
        <w:rPr>
          <w:lang w:val="en-US"/>
        </w:rPr>
      </w:pPr>
      <w:r w:rsidRPr="00E5757F">
        <w:rPr>
          <w:rStyle w:val="FootnoteReference"/>
        </w:rPr>
        <w:footnoteRef/>
      </w:r>
      <w:r w:rsidR="2FB0C460" w:rsidRPr="00E5757F">
        <w:rPr>
          <w:lang w:val="en-US"/>
        </w:rPr>
        <w:t xml:space="preserve"> Joint Action HEROES (2024), op cit.</w:t>
      </w:r>
    </w:p>
  </w:footnote>
  <w:footnote w:id="67">
    <w:p w14:paraId="52220467" w14:textId="619396B6" w:rsidR="00627395" w:rsidRPr="008A6539" w:rsidRDefault="00627395" w:rsidP="00E5757F">
      <w:pPr>
        <w:pStyle w:val="FootnoteText"/>
        <w:jc w:val="both"/>
        <w:rPr>
          <w:lang w:val="en-US"/>
        </w:rPr>
      </w:pPr>
      <w:r w:rsidRPr="00E5757F">
        <w:rPr>
          <w:rStyle w:val="FootnoteReference"/>
        </w:rPr>
        <w:footnoteRef/>
      </w:r>
      <w:r w:rsidR="2FB0C460" w:rsidRPr="00E5757F">
        <w:rPr>
          <w:lang w:val="en-US"/>
        </w:rPr>
        <w:t xml:space="preserve"> Gopinathan U. et al. </w:t>
      </w:r>
      <w:r w:rsidR="002B6E4E" w:rsidRPr="00E5757F">
        <w:rPr>
          <w:lang w:val="en-US"/>
        </w:rPr>
        <w:t>“</w:t>
      </w:r>
      <w:r w:rsidR="2FB0C460" w:rsidRPr="00E5757F">
        <w:rPr>
          <w:lang w:val="en-US"/>
        </w:rPr>
        <w:t xml:space="preserve">Conceptual and institutional gaps: understanding how the WHO can become a more effective cross-sectoral collaborator”. </w:t>
      </w:r>
      <w:r w:rsidR="2FB0C460" w:rsidRPr="00E5757F">
        <w:rPr>
          <w:i/>
          <w:iCs/>
          <w:lang w:val="en-US"/>
        </w:rPr>
        <w:t>Globalization and Health.</w:t>
      </w:r>
      <w:r w:rsidR="2FB0C460" w:rsidRPr="00E5757F">
        <w:rPr>
          <w:lang w:val="en-US"/>
        </w:rPr>
        <w:t xml:space="preserve"> 11(46). Available at </w:t>
      </w:r>
      <w:hyperlink r:id="rId38" w:history="1">
        <w:r w:rsidR="2FB0C460" w:rsidRPr="00E5757F">
          <w:rPr>
            <w:rStyle w:val="Hyperlink"/>
            <w:lang w:val="en-US"/>
          </w:rPr>
          <w:t>https://globalizationandhealth.biomedcentral.com/articles/10.1186/s12992-015-0128-6</w:t>
        </w:r>
      </w:hyperlink>
      <w:r w:rsidR="2FB0C460" w:rsidRPr="008A6539">
        <w:rPr>
          <w:lang w:val="en-US"/>
        </w:rPr>
        <w:t xml:space="preserve"> </w:t>
      </w:r>
    </w:p>
  </w:footnote>
  <w:footnote w:id="68">
    <w:p w14:paraId="42967361" w14:textId="61BBA950" w:rsidR="006868E4" w:rsidRPr="00627395" w:rsidRDefault="006868E4" w:rsidP="00883353">
      <w:pPr>
        <w:pStyle w:val="FootnoteText"/>
        <w:jc w:val="both"/>
        <w:rPr>
          <w:lang w:val="en-US"/>
        </w:rPr>
      </w:pPr>
      <w:r>
        <w:rPr>
          <w:rStyle w:val="FootnoteReference"/>
        </w:rPr>
        <w:footnoteRef/>
      </w:r>
      <w:r w:rsidR="2FB0C460" w:rsidRPr="00627395">
        <w:rPr>
          <w:lang w:val="en-US"/>
        </w:rPr>
        <w:t xml:space="preserve"> </w:t>
      </w:r>
      <w:r w:rsidR="2FB0C460" w:rsidRPr="00181FA5">
        <w:t xml:space="preserve">AHEAD Project (2023). “Call to action - Let's go AHEAD and tackle medical deserts!”. Available at </w:t>
      </w:r>
      <w:hyperlink r:id="rId39" w:history="1">
        <w:r w:rsidR="2FB0C460" w:rsidRPr="00F92D3C">
          <w:rPr>
            <w:rStyle w:val="Hyperlink"/>
          </w:rPr>
          <w:t>https://ahead.health/wp-content/uploads/2023/07/AHEAD_Call-to-Action_Lets-go-AHEAD-and-tackle-medical-deserts_May-2023.pdf</w:t>
        </w:r>
      </w:hyperlink>
      <w:r w:rsidR="2FB0C460">
        <w:t xml:space="preserve"> </w:t>
      </w:r>
    </w:p>
  </w:footnote>
  <w:footnote w:id="69">
    <w:p w14:paraId="1A2BB982" w14:textId="52BFAA84" w:rsidR="003D7318" w:rsidRPr="00A83224" w:rsidRDefault="003D7318" w:rsidP="003D7318">
      <w:pPr>
        <w:pStyle w:val="FootnoteText"/>
        <w:jc w:val="both"/>
        <w:rPr>
          <w:lang w:val="en-US"/>
        </w:rPr>
      </w:pPr>
      <w:r w:rsidRPr="00A83224">
        <w:rPr>
          <w:rStyle w:val="FootnoteReference"/>
        </w:rPr>
        <w:footnoteRef/>
      </w:r>
      <w:r w:rsidR="2FB0C460" w:rsidRPr="00A83224">
        <w:rPr>
          <w:lang w:val="en-US"/>
        </w:rPr>
        <w:t xml:space="preserve"> European Observatory on Health Systems and Policies (2023b). “What can intersectoral governance do to strengthen the health and care workforce? Structures and mechanisms to improve the education, employment and retention of health and care workers”. Policy brief n° 53. Available at </w:t>
      </w:r>
      <w:hyperlink r:id="rId40" w:history="1">
        <w:r w:rsidR="2FB0C460" w:rsidRPr="00A83224">
          <w:rPr>
            <w:rStyle w:val="Hyperlink"/>
            <w:lang w:val="en-US"/>
          </w:rPr>
          <w:t>https://eurohealthobservatory.who.int/publications/i/what-can-intersectoral-governance-do-to-strengthen-the-health-and-care-workforce-structures-and-mechanisms-to-improve-the-education-employment-and-retention-of-health-and-care-workers</w:t>
        </w:r>
      </w:hyperlink>
      <w:r w:rsidR="2FB0C460" w:rsidRPr="00A83224">
        <w:rPr>
          <w:lang w:val="en-US"/>
        </w:rPr>
        <w:t xml:space="preserve">  </w:t>
      </w:r>
    </w:p>
  </w:footnote>
  <w:footnote w:id="70">
    <w:p w14:paraId="1A787FE1" w14:textId="13B4F775" w:rsidR="003D7318" w:rsidRPr="00E5757F" w:rsidRDefault="003D7318" w:rsidP="00E5757F">
      <w:pPr>
        <w:pStyle w:val="FootnoteText"/>
        <w:jc w:val="both"/>
        <w:rPr>
          <w:lang w:val="en-US"/>
        </w:rPr>
      </w:pPr>
      <w:r w:rsidRPr="00E5757F">
        <w:rPr>
          <w:rStyle w:val="FootnoteReference"/>
        </w:rPr>
        <w:footnoteRef/>
      </w:r>
      <w:r w:rsidRPr="00E5757F">
        <w:rPr>
          <w:lang w:val="en-US"/>
        </w:rPr>
        <w:t xml:space="preserve"> </w:t>
      </w:r>
      <w:r w:rsidR="00A83224" w:rsidRPr="00E5757F">
        <w:rPr>
          <w:lang w:val="en-US"/>
        </w:rPr>
        <w:t>Idem.</w:t>
      </w:r>
    </w:p>
  </w:footnote>
  <w:footnote w:id="71">
    <w:p w14:paraId="1BCE9170" w14:textId="3447509A" w:rsidR="003D7318" w:rsidRPr="00E5757F" w:rsidRDefault="003D7318" w:rsidP="00E5757F">
      <w:pPr>
        <w:pStyle w:val="FootnoteText"/>
        <w:jc w:val="both"/>
        <w:rPr>
          <w:lang w:val="en-US"/>
        </w:rPr>
      </w:pPr>
      <w:r w:rsidRPr="00E5757F">
        <w:rPr>
          <w:rStyle w:val="FootnoteReference"/>
        </w:rPr>
        <w:footnoteRef/>
      </w:r>
      <w:r w:rsidR="00A83224" w:rsidRPr="00E5757F">
        <w:rPr>
          <w:lang w:val="en-US"/>
        </w:rPr>
        <w:t xml:space="preserve"> European Observatory on Health Systems and Policies (2023b), op. cit. </w:t>
      </w:r>
    </w:p>
  </w:footnote>
  <w:footnote w:id="72">
    <w:p w14:paraId="0A85E4CA" w14:textId="2F4CA37C" w:rsidR="001B277D" w:rsidRPr="00E5757F" w:rsidRDefault="001B277D" w:rsidP="00E5757F">
      <w:pPr>
        <w:pStyle w:val="FootnoteText"/>
        <w:jc w:val="both"/>
        <w:rPr>
          <w:lang w:val="en-US"/>
        </w:rPr>
      </w:pPr>
      <w:r w:rsidRPr="00E5757F">
        <w:rPr>
          <w:rStyle w:val="FootnoteReference"/>
        </w:rPr>
        <w:footnoteRef/>
      </w:r>
      <w:r w:rsidRPr="00E5757F">
        <w:rPr>
          <w:lang w:val="en-US"/>
        </w:rPr>
        <w:t xml:space="preserve"> </w:t>
      </w:r>
      <w:r w:rsidR="00A83224" w:rsidRPr="00E5757F">
        <w:rPr>
          <w:lang w:val="en-US"/>
        </w:rPr>
        <w:t>Idem.</w:t>
      </w:r>
    </w:p>
  </w:footnote>
  <w:footnote w:id="73">
    <w:p w14:paraId="4DA6CB96" w14:textId="4BD6AF89" w:rsidR="001B277D" w:rsidRPr="00E5757F" w:rsidRDefault="001B277D" w:rsidP="00E5757F">
      <w:pPr>
        <w:pStyle w:val="FootnoteText"/>
        <w:jc w:val="both"/>
        <w:rPr>
          <w:highlight w:val="yellow"/>
          <w:lang w:val="en-US"/>
        </w:rPr>
      </w:pPr>
      <w:r w:rsidRPr="00E5757F">
        <w:rPr>
          <w:rStyle w:val="FootnoteReference"/>
        </w:rPr>
        <w:footnoteRef/>
      </w:r>
      <w:r w:rsidRPr="00E5757F">
        <w:rPr>
          <w:lang w:val="en-US"/>
        </w:rPr>
        <w:t xml:space="preserve"> </w:t>
      </w:r>
      <w:r w:rsidR="00A83224" w:rsidRPr="00E5757F">
        <w:rPr>
          <w:lang w:val="en-US"/>
        </w:rPr>
        <w:t>Idem.</w:t>
      </w:r>
    </w:p>
  </w:footnote>
  <w:footnote w:id="74">
    <w:p w14:paraId="38AE8D31" w14:textId="7125DA96" w:rsidR="0021596C" w:rsidRPr="00E5757F" w:rsidRDefault="0021596C" w:rsidP="00E5757F">
      <w:pPr>
        <w:pStyle w:val="FootnoteText"/>
        <w:jc w:val="both"/>
        <w:rPr>
          <w:highlight w:val="yellow"/>
          <w:lang w:val="en-US"/>
        </w:rPr>
      </w:pPr>
      <w:r w:rsidRPr="00E5757F">
        <w:rPr>
          <w:rStyle w:val="FootnoteReference"/>
        </w:rPr>
        <w:footnoteRef/>
      </w:r>
      <w:r w:rsidRPr="00E5757F">
        <w:rPr>
          <w:lang w:val="en-US"/>
        </w:rPr>
        <w:t xml:space="preserve"> </w:t>
      </w:r>
      <w:r w:rsidR="009E5A95" w:rsidRPr="00E5757F">
        <w:t>European Observatory on Health Systems and Policies (2023c), op. cit.</w:t>
      </w:r>
    </w:p>
  </w:footnote>
  <w:footnote w:id="75">
    <w:p w14:paraId="1DBB2DAE" w14:textId="5D91A1ED" w:rsidR="00187BAF" w:rsidRPr="00F92EF0" w:rsidRDefault="00187BAF" w:rsidP="00E5757F">
      <w:pPr>
        <w:spacing w:before="0" w:after="0"/>
        <w:jc w:val="both"/>
        <w:rPr>
          <w:rFonts w:eastAsiaTheme="minorEastAsia"/>
          <w:sz w:val="20"/>
          <w:szCs w:val="20"/>
        </w:rPr>
      </w:pPr>
      <w:r w:rsidRPr="00E5757F">
        <w:rPr>
          <w:rStyle w:val="FootnoteReference"/>
          <w:sz w:val="20"/>
          <w:szCs w:val="20"/>
        </w:rPr>
        <w:footnoteRef/>
      </w:r>
      <w:r w:rsidR="2FB0C460" w:rsidRPr="00E5757F">
        <w:rPr>
          <w:sz w:val="20"/>
          <w:szCs w:val="20"/>
        </w:rPr>
        <w:t xml:space="preserve"> </w:t>
      </w:r>
      <w:r w:rsidR="2FB0C460" w:rsidRPr="00E5757F">
        <w:rPr>
          <w:rFonts w:eastAsiaTheme="minorEastAsia"/>
          <w:sz w:val="20"/>
          <w:szCs w:val="20"/>
        </w:rPr>
        <w:t xml:space="preserve">World Health Organization Regional Office for Europe (2022). </w:t>
      </w:r>
      <w:r w:rsidR="2FB0C460" w:rsidRPr="00E5757F">
        <w:rPr>
          <w:rFonts w:eastAsiaTheme="minorEastAsia"/>
          <w:i/>
          <w:iCs/>
          <w:sz w:val="20"/>
          <w:szCs w:val="20"/>
        </w:rPr>
        <w:t>Health and care workforce in Europe: time to act.</w:t>
      </w:r>
      <w:r w:rsidR="2FB0C460" w:rsidRPr="00E5757F">
        <w:rPr>
          <w:rFonts w:eastAsiaTheme="minorEastAsia"/>
          <w:b/>
          <w:bCs/>
          <w:sz w:val="20"/>
          <w:szCs w:val="20"/>
        </w:rPr>
        <w:t xml:space="preserve"> </w:t>
      </w:r>
      <w:r w:rsidR="2FB0C460" w:rsidRPr="00E5757F">
        <w:rPr>
          <w:rFonts w:eastAsiaTheme="minorEastAsia"/>
          <w:sz w:val="20"/>
          <w:szCs w:val="20"/>
        </w:rPr>
        <w:t>Copenhagen: WHO Regional Office for Europe. Available at</w:t>
      </w:r>
      <w:r w:rsidR="00E5757F">
        <w:rPr>
          <w:rFonts w:eastAsiaTheme="minorEastAsia"/>
          <w:sz w:val="20"/>
          <w:szCs w:val="20"/>
        </w:rPr>
        <w:t xml:space="preserve">: </w:t>
      </w:r>
      <w:r w:rsidR="2FB0C460" w:rsidRPr="00E5757F">
        <w:rPr>
          <w:rFonts w:eastAsiaTheme="minorEastAsia"/>
          <w:sz w:val="20"/>
          <w:szCs w:val="20"/>
        </w:rPr>
        <w:t xml:space="preserve"> </w:t>
      </w:r>
      <w:hyperlink r:id="rId41">
        <w:r w:rsidR="2FB0C460" w:rsidRPr="00E5757F">
          <w:rPr>
            <w:rStyle w:val="Hyperlink"/>
            <w:rFonts w:eastAsiaTheme="minorEastAsia"/>
            <w:sz w:val="20"/>
            <w:szCs w:val="20"/>
          </w:rPr>
          <w:t>https://www.who.int/europe/publications/i/item/9789289058339</w:t>
        </w:r>
      </w:hyperlink>
    </w:p>
  </w:footnote>
  <w:footnote w:id="76">
    <w:p w14:paraId="2DC91EF6" w14:textId="02DFC007" w:rsidR="00AF296F" w:rsidRPr="00E5757F" w:rsidRDefault="00AF296F" w:rsidP="00E5757F">
      <w:pPr>
        <w:pStyle w:val="FootnoteText"/>
        <w:jc w:val="both"/>
        <w:rPr>
          <w:highlight w:val="yellow"/>
        </w:rPr>
      </w:pPr>
      <w:r w:rsidRPr="00E5757F">
        <w:rPr>
          <w:rStyle w:val="FootnoteReference"/>
        </w:rPr>
        <w:footnoteRef/>
      </w:r>
      <w:r w:rsidRPr="00E5757F">
        <w:t xml:space="preserve"> </w:t>
      </w:r>
      <w:r w:rsidR="009E5A95" w:rsidRPr="00E5757F">
        <w:t>European Observatory on Health Systems and Policies (2023c), op. cit.</w:t>
      </w:r>
    </w:p>
  </w:footnote>
  <w:footnote w:id="77">
    <w:p w14:paraId="17B583BC" w14:textId="2BB51499" w:rsidR="00AF296F" w:rsidRPr="00E5757F" w:rsidRDefault="00AF296F" w:rsidP="00E5757F">
      <w:pPr>
        <w:pStyle w:val="FootnoteText"/>
        <w:jc w:val="both"/>
      </w:pPr>
      <w:r w:rsidRPr="00E5757F">
        <w:rPr>
          <w:rStyle w:val="FootnoteReference"/>
        </w:rPr>
        <w:footnoteRef/>
      </w:r>
      <w:r w:rsidRPr="00E5757F">
        <w:t xml:space="preserve"> </w:t>
      </w:r>
      <w:r w:rsidR="009E5A95" w:rsidRPr="00E5757F">
        <w:t>European Observatory on Health Systems and Policies (2023c), op. cit.</w:t>
      </w:r>
      <w:r w:rsidRPr="00E5757F">
        <w:t xml:space="preserve"> </w:t>
      </w:r>
    </w:p>
  </w:footnote>
  <w:footnote w:id="78">
    <w:p w14:paraId="298B77E6" w14:textId="0B8DDAA4" w:rsidR="00AF296F" w:rsidRPr="00E5757F" w:rsidRDefault="00AF296F" w:rsidP="00E5757F">
      <w:pPr>
        <w:pStyle w:val="FootnoteText"/>
        <w:jc w:val="both"/>
        <w:rPr>
          <w:highlight w:val="yellow"/>
        </w:rPr>
      </w:pPr>
      <w:r w:rsidRPr="00E5757F">
        <w:rPr>
          <w:rStyle w:val="FootnoteReference"/>
        </w:rPr>
        <w:footnoteRef/>
      </w:r>
      <w:r w:rsidRPr="00E5757F">
        <w:t xml:space="preserve"> </w:t>
      </w:r>
      <w:r w:rsidR="00F426D3" w:rsidRPr="00E5757F">
        <w:rPr>
          <w:lang w:val="en-US"/>
        </w:rPr>
        <w:t xml:space="preserve">European Observatory on Health Systems and Policies (2023b), op. cit. </w:t>
      </w:r>
    </w:p>
  </w:footnote>
  <w:footnote w:id="79">
    <w:p w14:paraId="6003780E" w14:textId="772B6EAE" w:rsidR="7C13F9A9" w:rsidRPr="00E5757F" w:rsidRDefault="7C13F9A9" w:rsidP="00E5757F">
      <w:pPr>
        <w:spacing w:before="0" w:after="0"/>
        <w:jc w:val="both"/>
        <w:rPr>
          <w:rFonts w:eastAsiaTheme="minorEastAsia"/>
          <w:sz w:val="20"/>
          <w:szCs w:val="20"/>
          <w:highlight w:val="yellow"/>
        </w:rPr>
      </w:pPr>
      <w:r w:rsidRPr="00E5757F">
        <w:rPr>
          <w:rStyle w:val="FootnoteReference"/>
          <w:sz w:val="20"/>
          <w:szCs w:val="20"/>
        </w:rPr>
        <w:footnoteRef/>
      </w:r>
      <w:r w:rsidR="2FB0C460" w:rsidRPr="00E5757F">
        <w:rPr>
          <w:sz w:val="20"/>
          <w:szCs w:val="20"/>
        </w:rPr>
        <w:t xml:space="preserve"> </w:t>
      </w:r>
      <w:r w:rsidR="2FB0C460" w:rsidRPr="00E5757F">
        <w:rPr>
          <w:rFonts w:eastAsiaTheme="minorEastAsia"/>
          <w:sz w:val="20"/>
          <w:szCs w:val="20"/>
        </w:rPr>
        <w:t xml:space="preserve">Wismar M. and Goffin T. (2023). “Tackling the health workforce crisis: towards a European health workforce strategy”. </w:t>
      </w:r>
      <w:r w:rsidR="2FB0C460" w:rsidRPr="00E5757F">
        <w:rPr>
          <w:rFonts w:eastAsiaTheme="minorEastAsia"/>
          <w:i/>
          <w:iCs/>
          <w:sz w:val="20"/>
          <w:szCs w:val="20"/>
        </w:rPr>
        <w:t>Eurohealth</w:t>
      </w:r>
      <w:r w:rsidR="2FB0C460" w:rsidRPr="00E5757F">
        <w:rPr>
          <w:rFonts w:eastAsiaTheme="minorEastAsia"/>
          <w:sz w:val="20"/>
          <w:szCs w:val="20"/>
        </w:rPr>
        <w:t xml:space="preserve">. 29(3). Available at </w:t>
      </w:r>
      <w:hyperlink r:id="rId42" w:history="1">
        <w:r w:rsidR="2FB0C460" w:rsidRPr="00E5757F">
          <w:rPr>
            <w:rStyle w:val="Hyperlink"/>
            <w:rFonts w:eastAsiaTheme="minorEastAsia"/>
            <w:sz w:val="20"/>
            <w:szCs w:val="20"/>
          </w:rPr>
          <w:t>https://eurohealthobservatory.who.int/publications/i/a-europe-that-cares-prepares-protects-strengthening-the-eu-health-union-(eurohealth)</w:t>
        </w:r>
      </w:hyperlink>
      <w:r w:rsidR="2FB0C460" w:rsidRPr="00E5757F">
        <w:rPr>
          <w:rFonts w:eastAsiaTheme="minorEastAsia"/>
          <w:sz w:val="20"/>
          <w:szCs w:val="20"/>
        </w:rPr>
        <w:t xml:space="preserve">. </w:t>
      </w:r>
    </w:p>
  </w:footnote>
  <w:footnote w:id="80">
    <w:p w14:paraId="6B98E0C3" w14:textId="4579CB6E" w:rsidR="31381112" w:rsidRPr="00E5757F" w:rsidRDefault="31381112" w:rsidP="00E5757F">
      <w:pPr>
        <w:pStyle w:val="FootnoteText"/>
        <w:jc w:val="both"/>
        <w:rPr>
          <w:highlight w:val="yellow"/>
        </w:rPr>
      </w:pPr>
      <w:r w:rsidRPr="00E5757F">
        <w:rPr>
          <w:rStyle w:val="FootnoteReference"/>
        </w:rPr>
        <w:footnoteRef/>
      </w:r>
      <w:r w:rsidR="2FB0C460" w:rsidRPr="00E5757F">
        <w:t xml:space="preserve"> European Observatory on Health Systems and Policies (2023d). “Strengthening primary care in Europe: How to increase the attractiveness of primary care for medical students and primary care physicians?”. Policy brief n°55. Available at </w:t>
      </w:r>
      <w:hyperlink r:id="rId43" w:history="1">
        <w:r w:rsidR="2FB0C460" w:rsidRPr="00E5757F">
          <w:rPr>
            <w:rStyle w:val="Hyperlink"/>
          </w:rPr>
          <w:t>https://eurohealthobservatory.who.int/publications/i/strengthening-primary-care-in-europe-how-to-increase-the-attractiveness-of-primary-care-for-medical-students-and-primary-care-physicians</w:t>
        </w:r>
      </w:hyperlink>
      <w:r w:rsidR="2FB0C460" w:rsidRPr="00E5757F">
        <w:t xml:space="preserve">  </w:t>
      </w:r>
    </w:p>
  </w:footnote>
  <w:footnote w:id="81">
    <w:p w14:paraId="27CB4779" w14:textId="41F59DF6" w:rsidR="31381112" w:rsidRPr="00E5757F" w:rsidRDefault="31381112" w:rsidP="00E5757F">
      <w:pPr>
        <w:pStyle w:val="FootnoteText"/>
        <w:jc w:val="both"/>
        <w:rPr>
          <w:lang w:val="es-419"/>
        </w:rPr>
      </w:pPr>
      <w:r w:rsidRPr="00E5757F">
        <w:rPr>
          <w:rStyle w:val="FootnoteReference"/>
        </w:rPr>
        <w:footnoteRef/>
      </w:r>
      <w:r w:rsidR="2FB0C460" w:rsidRPr="00E5757F">
        <w:rPr>
          <w:lang w:val="es-419"/>
        </w:rPr>
        <w:t xml:space="preserve"> Zapata T. et al. (2023), </w:t>
      </w:r>
      <w:proofErr w:type="spellStart"/>
      <w:r w:rsidR="2FB0C460" w:rsidRPr="00E5757F">
        <w:rPr>
          <w:lang w:val="es-419"/>
        </w:rPr>
        <w:t>op</w:t>
      </w:r>
      <w:proofErr w:type="spellEnd"/>
      <w:r w:rsidR="2FB0C460" w:rsidRPr="00E5757F">
        <w:rPr>
          <w:lang w:val="es-419"/>
        </w:rPr>
        <w:t>. cit.</w:t>
      </w:r>
    </w:p>
  </w:footnote>
  <w:footnote w:id="82">
    <w:p w14:paraId="611A470D" w14:textId="0FE73D62" w:rsidR="37951108" w:rsidRPr="00E5757F" w:rsidRDefault="37951108" w:rsidP="00E5757F">
      <w:pPr>
        <w:pStyle w:val="FootnoteText"/>
        <w:jc w:val="both"/>
      </w:pPr>
      <w:r w:rsidRPr="00E5757F">
        <w:rPr>
          <w:rStyle w:val="FootnoteReference"/>
        </w:rPr>
        <w:footnoteRef/>
      </w:r>
      <w:r w:rsidRPr="00E5757F">
        <w:rPr>
          <w:lang w:val="en-US"/>
        </w:rPr>
        <w:t xml:space="preserve"> </w:t>
      </w:r>
      <w:r w:rsidR="00FD3759" w:rsidRPr="00E5757F">
        <w:t>European Observatory on Health Systems and Policies (2023d), op. cit.</w:t>
      </w:r>
    </w:p>
  </w:footnote>
  <w:footnote w:id="83">
    <w:p w14:paraId="1A5AA358" w14:textId="2ECB9721" w:rsidR="31381112" w:rsidRPr="00F92EF0" w:rsidRDefault="31381112" w:rsidP="00E5757F">
      <w:pPr>
        <w:pStyle w:val="FootnoteText"/>
        <w:jc w:val="both"/>
        <w:rPr>
          <w:highlight w:val="yellow"/>
          <w:lang w:val="en-US"/>
        </w:rPr>
      </w:pPr>
      <w:r w:rsidRPr="00E5757F">
        <w:rPr>
          <w:rStyle w:val="FootnoteReference"/>
        </w:rPr>
        <w:footnoteRef/>
      </w:r>
      <w:r w:rsidRPr="00E5757F">
        <w:rPr>
          <w:lang w:val="en-US"/>
        </w:rPr>
        <w:t xml:space="preserve"> </w:t>
      </w:r>
      <w:r w:rsidR="009E5A95" w:rsidRPr="00E5757F">
        <w:t>European Observatory on Health Systems and Policies (2023c), op. cit.</w:t>
      </w:r>
    </w:p>
  </w:footnote>
  <w:footnote w:id="84">
    <w:p w14:paraId="4883F76B" w14:textId="09F58ACB" w:rsidR="00FC0E09" w:rsidRPr="00E5757F" w:rsidRDefault="00FC0E09" w:rsidP="00E5757F">
      <w:pPr>
        <w:spacing w:before="0" w:after="0"/>
        <w:jc w:val="both"/>
        <w:rPr>
          <w:rFonts w:ascii="Calibri" w:eastAsia="Calibri" w:hAnsi="Calibri" w:cs="Calibri"/>
          <w:color w:val="000000" w:themeColor="text1"/>
          <w:sz w:val="20"/>
          <w:szCs w:val="20"/>
        </w:rPr>
      </w:pPr>
      <w:r w:rsidRPr="00E5757F">
        <w:rPr>
          <w:rStyle w:val="FootnoteReference"/>
          <w:sz w:val="20"/>
          <w:szCs w:val="20"/>
        </w:rPr>
        <w:footnoteRef/>
      </w:r>
      <w:r w:rsidR="2FB0C460" w:rsidRPr="00E5757F">
        <w:rPr>
          <w:sz w:val="20"/>
          <w:szCs w:val="20"/>
        </w:rPr>
        <w:t xml:space="preserve"> </w:t>
      </w:r>
      <w:r w:rsidR="2FB0C460" w:rsidRPr="00E5757F">
        <w:rPr>
          <w:rFonts w:ascii="Calibri" w:eastAsia="Calibri" w:hAnsi="Calibri" w:cs="Calibri"/>
          <w:color w:val="000000" w:themeColor="text1"/>
          <w:sz w:val="20"/>
          <w:szCs w:val="20"/>
        </w:rPr>
        <w:t xml:space="preserve">European Commission (2022). “Communication from the Commission to the European Parliament, the Council, the European Economic and Social Committee and the Committee of the Regions on the European Care Strategy”. </w:t>
      </w:r>
      <w:proofErr w:type="gramStart"/>
      <w:r w:rsidR="2FB0C460" w:rsidRPr="00E5757F">
        <w:rPr>
          <w:rFonts w:ascii="Calibri" w:eastAsia="Calibri" w:hAnsi="Calibri" w:cs="Calibri"/>
          <w:color w:val="000000" w:themeColor="text1"/>
          <w:sz w:val="20"/>
          <w:szCs w:val="20"/>
        </w:rPr>
        <w:t>COM(</w:t>
      </w:r>
      <w:proofErr w:type="gramEnd"/>
      <w:r w:rsidR="2FB0C460" w:rsidRPr="00E5757F">
        <w:rPr>
          <w:rFonts w:ascii="Calibri" w:eastAsia="Calibri" w:hAnsi="Calibri" w:cs="Calibri"/>
          <w:color w:val="000000" w:themeColor="text1"/>
          <w:sz w:val="20"/>
          <w:szCs w:val="20"/>
        </w:rPr>
        <w:t>2022) 440 final. Available at</w:t>
      </w:r>
      <w:r w:rsidR="00E5757F">
        <w:rPr>
          <w:rFonts w:ascii="Calibri" w:eastAsia="Calibri" w:hAnsi="Calibri" w:cs="Calibri"/>
          <w:color w:val="000000" w:themeColor="text1"/>
          <w:sz w:val="20"/>
          <w:szCs w:val="20"/>
        </w:rPr>
        <w:t>:</w:t>
      </w:r>
      <w:r w:rsidR="2FB0C460" w:rsidRPr="00E5757F">
        <w:rPr>
          <w:rFonts w:ascii="Calibri" w:eastAsia="Calibri" w:hAnsi="Calibri" w:cs="Calibri"/>
          <w:color w:val="000000" w:themeColor="text1"/>
          <w:sz w:val="20"/>
          <w:szCs w:val="20"/>
        </w:rPr>
        <w:t xml:space="preserve"> </w:t>
      </w:r>
      <w:hyperlink r:id="rId44">
        <w:r w:rsidR="2FB0C460" w:rsidRPr="00E5757F">
          <w:rPr>
            <w:rStyle w:val="Hyperlink"/>
            <w:rFonts w:ascii="Calibri" w:eastAsia="Calibri" w:hAnsi="Calibri" w:cs="Calibri"/>
            <w:sz w:val="20"/>
            <w:szCs w:val="20"/>
          </w:rPr>
          <w:t>https://eur-lex.europa.eu/legal-content/EN/TXT/PDF/?uri=CELEX:52022DC0440</w:t>
        </w:r>
      </w:hyperlink>
      <w:r w:rsidR="2FB0C460" w:rsidRPr="00E5757F">
        <w:rPr>
          <w:rFonts w:ascii="Calibri" w:eastAsia="Calibri" w:hAnsi="Calibri" w:cs="Calibri"/>
          <w:color w:val="000000" w:themeColor="text1"/>
          <w:sz w:val="20"/>
          <w:szCs w:val="20"/>
        </w:rPr>
        <w:t>.</w:t>
      </w:r>
    </w:p>
  </w:footnote>
  <w:footnote w:id="85">
    <w:p w14:paraId="2D8B4622" w14:textId="2BDA38C2" w:rsidR="00A2699F" w:rsidRPr="00E5757F" w:rsidRDefault="00A2699F" w:rsidP="00E5757F">
      <w:pPr>
        <w:spacing w:before="0" w:after="0"/>
        <w:jc w:val="both"/>
        <w:rPr>
          <w:sz w:val="20"/>
          <w:szCs w:val="20"/>
        </w:rPr>
      </w:pPr>
      <w:r w:rsidRPr="00E5757F">
        <w:rPr>
          <w:rStyle w:val="FootnoteReference"/>
          <w:sz w:val="20"/>
          <w:szCs w:val="20"/>
        </w:rPr>
        <w:footnoteRef/>
      </w:r>
      <w:r w:rsidR="2FB0C460" w:rsidRPr="00E5757F">
        <w:rPr>
          <w:sz w:val="20"/>
          <w:szCs w:val="20"/>
        </w:rPr>
        <w:t xml:space="preserve"> </w:t>
      </w:r>
      <w:r w:rsidR="2FB0C460" w:rsidRPr="00E5757F">
        <w:rPr>
          <w:rFonts w:eastAsiaTheme="minorEastAsia"/>
          <w:sz w:val="20"/>
          <w:szCs w:val="20"/>
        </w:rPr>
        <w:t>European Union (2019). “Council Recommendation of 22 May 2019 on High-Quality Early Childhood Education and Care Systems”. 2019/C 189/02. Available at</w:t>
      </w:r>
      <w:r w:rsidR="00E5757F">
        <w:rPr>
          <w:rFonts w:eastAsiaTheme="minorEastAsia"/>
          <w:sz w:val="20"/>
          <w:szCs w:val="20"/>
        </w:rPr>
        <w:t>:</w:t>
      </w:r>
      <w:r w:rsidR="2FB0C460" w:rsidRPr="00E5757F">
        <w:rPr>
          <w:rFonts w:eastAsiaTheme="minorEastAsia"/>
          <w:sz w:val="20"/>
          <w:szCs w:val="20"/>
        </w:rPr>
        <w:t xml:space="preserve"> </w:t>
      </w:r>
      <w:hyperlink r:id="rId45">
        <w:r w:rsidR="2FB0C460" w:rsidRPr="00E5757F">
          <w:rPr>
            <w:rStyle w:val="Hyperlink"/>
            <w:rFonts w:eastAsiaTheme="minorEastAsia"/>
            <w:sz w:val="20"/>
            <w:szCs w:val="20"/>
          </w:rPr>
          <w:t>https://eur-lex.europa.eu/legal-content/EN/TXT/PDF/?uri=CELEX:32019H0605(01</w:t>
        </w:r>
      </w:hyperlink>
      <w:r w:rsidR="2FB0C460" w:rsidRPr="00E5757F">
        <w:rPr>
          <w:rFonts w:eastAsiaTheme="minorEastAsia"/>
          <w:sz w:val="20"/>
          <w:szCs w:val="20"/>
        </w:rPr>
        <w:t>).</w:t>
      </w:r>
    </w:p>
  </w:footnote>
  <w:footnote w:id="86">
    <w:p w14:paraId="65A0A6B0" w14:textId="6DC027FD" w:rsidR="00112F45" w:rsidRPr="00E5757F" w:rsidRDefault="00112F45" w:rsidP="00E5757F">
      <w:pPr>
        <w:spacing w:before="0" w:after="0"/>
        <w:jc w:val="both"/>
        <w:rPr>
          <w:sz w:val="20"/>
          <w:szCs w:val="20"/>
        </w:rPr>
      </w:pPr>
      <w:r w:rsidRPr="00E5757F">
        <w:rPr>
          <w:rStyle w:val="FootnoteReference"/>
          <w:sz w:val="20"/>
          <w:szCs w:val="20"/>
        </w:rPr>
        <w:footnoteRef/>
      </w:r>
      <w:r w:rsidR="2FB0C460" w:rsidRPr="00E5757F">
        <w:rPr>
          <w:sz w:val="20"/>
          <w:szCs w:val="20"/>
        </w:rPr>
        <w:t xml:space="preserve"> </w:t>
      </w:r>
      <w:r w:rsidR="2FB0C460" w:rsidRPr="00E5757F">
        <w:rPr>
          <w:rFonts w:eastAsiaTheme="minorEastAsia"/>
          <w:sz w:val="20"/>
          <w:szCs w:val="20"/>
        </w:rPr>
        <w:t>European Union (2022). “Council Recommendation of 8 December 2022 on access to affordable high-quality long-term care”. 2022/C 476/01. Available at</w:t>
      </w:r>
      <w:r w:rsidR="00E5757F">
        <w:rPr>
          <w:rFonts w:eastAsiaTheme="minorEastAsia"/>
          <w:sz w:val="20"/>
          <w:szCs w:val="20"/>
        </w:rPr>
        <w:t>:</w:t>
      </w:r>
      <w:r w:rsidR="2FB0C460" w:rsidRPr="00E5757F">
        <w:rPr>
          <w:rFonts w:eastAsiaTheme="minorEastAsia"/>
          <w:sz w:val="20"/>
          <w:szCs w:val="20"/>
        </w:rPr>
        <w:t xml:space="preserve"> </w:t>
      </w:r>
      <w:hyperlink r:id="rId46">
        <w:r w:rsidR="2FB0C460" w:rsidRPr="00E5757F">
          <w:rPr>
            <w:rStyle w:val="Hyperlink"/>
            <w:rFonts w:eastAsiaTheme="minorEastAsia"/>
            <w:sz w:val="20"/>
            <w:szCs w:val="20"/>
          </w:rPr>
          <w:t>https://eur-lex.europa.eu/legal-content/EN/TXT/PDF/?uri=CELEX:32022H1215(01</w:t>
        </w:r>
      </w:hyperlink>
      <w:r w:rsidR="2FB0C460" w:rsidRPr="00E5757F">
        <w:rPr>
          <w:rFonts w:eastAsiaTheme="minorEastAsia"/>
          <w:sz w:val="20"/>
          <w:szCs w:val="20"/>
        </w:rPr>
        <w:t>).</w:t>
      </w:r>
    </w:p>
  </w:footnote>
  <w:footnote w:id="87">
    <w:p w14:paraId="32E795DB" w14:textId="7FCB19FB" w:rsidR="00D579B6" w:rsidRPr="00FE6E10" w:rsidRDefault="00D579B6" w:rsidP="00E5757F">
      <w:pPr>
        <w:spacing w:before="0" w:after="0"/>
        <w:jc w:val="both"/>
        <w:rPr>
          <w:lang w:val="en-US"/>
        </w:rPr>
      </w:pPr>
      <w:r w:rsidRPr="00E5757F">
        <w:rPr>
          <w:rStyle w:val="FootnoteReference"/>
          <w:sz w:val="20"/>
          <w:szCs w:val="20"/>
        </w:rPr>
        <w:footnoteRef/>
      </w:r>
      <w:r w:rsidR="2FB0C460" w:rsidRPr="00E5757F">
        <w:rPr>
          <w:sz w:val="20"/>
          <w:szCs w:val="20"/>
          <w:lang w:val="en-US"/>
        </w:rPr>
        <w:t xml:space="preserve"> </w:t>
      </w:r>
      <w:r w:rsidR="2FB0C460" w:rsidRPr="00E5757F">
        <w:rPr>
          <w:rFonts w:eastAsiaTheme="minorEastAsia"/>
          <w:sz w:val="20"/>
          <w:szCs w:val="20"/>
          <w:lang w:val="en-US"/>
        </w:rPr>
        <w:t>European Public Health Alliance (2023). “Strengthening Public Health Across the European Union”. Available at</w:t>
      </w:r>
      <w:r w:rsidR="00E5757F">
        <w:rPr>
          <w:rFonts w:eastAsiaTheme="minorEastAsia"/>
          <w:sz w:val="20"/>
          <w:szCs w:val="20"/>
          <w:lang w:val="en-US"/>
        </w:rPr>
        <w:t>:</w:t>
      </w:r>
      <w:r w:rsidR="2FB0C460" w:rsidRPr="00E5757F">
        <w:rPr>
          <w:rFonts w:eastAsiaTheme="minorEastAsia"/>
          <w:sz w:val="20"/>
          <w:szCs w:val="20"/>
          <w:lang w:val="en-US"/>
        </w:rPr>
        <w:t xml:space="preserve"> </w:t>
      </w:r>
      <w:hyperlink r:id="rId47">
        <w:r w:rsidR="2FB0C460" w:rsidRPr="00E5757F">
          <w:rPr>
            <w:rStyle w:val="Hyperlink"/>
            <w:rFonts w:eastAsiaTheme="minorEastAsia"/>
            <w:sz w:val="20"/>
            <w:szCs w:val="20"/>
            <w:lang w:val="en-US"/>
          </w:rPr>
          <w:t>https://epha.org/wp-content/uploads/2023/11/2023_epha_strengthening-public-health-across-the-european-union.pdf</w:t>
        </w:r>
      </w:hyperlink>
      <w:r w:rsidR="2FB0C460" w:rsidRPr="00E5757F">
        <w:rPr>
          <w:rFonts w:eastAsiaTheme="minorEastAsia"/>
          <w:sz w:val="20"/>
          <w:szCs w:val="20"/>
          <w:lang w:val="en-US"/>
        </w:rPr>
        <w:t>.</w:t>
      </w:r>
    </w:p>
  </w:footnote>
  <w:footnote w:id="88">
    <w:p w14:paraId="3BABC2A5" w14:textId="771CCE0A" w:rsidR="006E523D" w:rsidRPr="00486AE1" w:rsidRDefault="006E523D" w:rsidP="006E523D">
      <w:pPr>
        <w:spacing w:before="0" w:after="0"/>
        <w:jc w:val="both"/>
        <w:rPr>
          <w:rFonts w:eastAsiaTheme="minorEastAsia"/>
          <w:sz w:val="20"/>
          <w:szCs w:val="20"/>
        </w:rPr>
      </w:pPr>
      <w:r w:rsidRPr="00B22A39">
        <w:rPr>
          <w:rStyle w:val="FootnoteReference"/>
          <w:sz w:val="20"/>
          <w:szCs w:val="20"/>
        </w:rPr>
        <w:footnoteRef/>
      </w:r>
      <w:r w:rsidRPr="00B22A39">
        <w:rPr>
          <w:sz w:val="20"/>
          <w:szCs w:val="20"/>
        </w:rPr>
        <w:t xml:space="preserve"> </w:t>
      </w:r>
      <w:r w:rsidR="00B22A39" w:rsidRPr="00B22A39">
        <w:rPr>
          <w:rFonts w:eastAsiaTheme="minorEastAsia"/>
          <w:sz w:val="20"/>
          <w:szCs w:val="20"/>
        </w:rPr>
        <w:t>Wismar M. and Goffin T. (2023), op. cit.</w:t>
      </w:r>
    </w:p>
  </w:footnote>
  <w:footnote w:id="89">
    <w:p w14:paraId="33D75238" w14:textId="4DE0E8E5" w:rsidR="009216B6" w:rsidRDefault="009216B6" w:rsidP="009216B6">
      <w:pPr>
        <w:spacing w:before="0" w:after="0"/>
        <w:jc w:val="both"/>
        <w:rPr>
          <w:rFonts w:eastAsiaTheme="minorEastAsia"/>
        </w:rPr>
      </w:pPr>
      <w:r w:rsidRPr="00B22A39">
        <w:rPr>
          <w:rStyle w:val="FootnoteReference"/>
          <w:sz w:val="20"/>
          <w:szCs w:val="20"/>
        </w:rPr>
        <w:footnoteRef/>
      </w:r>
      <w:r w:rsidRPr="00B22A39">
        <w:rPr>
          <w:sz w:val="20"/>
          <w:szCs w:val="20"/>
        </w:rPr>
        <w:t xml:space="preserve"> </w:t>
      </w:r>
      <w:r w:rsidR="00B22A39" w:rsidRPr="00B22A39">
        <w:rPr>
          <w:rFonts w:eastAsiaTheme="minorEastAsia"/>
          <w:sz w:val="20"/>
          <w:szCs w:val="20"/>
        </w:rPr>
        <w:t>Wismar M. and Goffin T. (2023), op. 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0C9"/>
    <w:multiLevelType w:val="hybridMultilevel"/>
    <w:tmpl w:val="8AF8D3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4B6B9D"/>
    <w:multiLevelType w:val="hybridMultilevel"/>
    <w:tmpl w:val="63A4F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B1F47"/>
    <w:multiLevelType w:val="multilevel"/>
    <w:tmpl w:val="058ACE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BE1222"/>
    <w:multiLevelType w:val="multilevel"/>
    <w:tmpl w:val="36E8BD8A"/>
    <w:lvl w:ilvl="0">
      <w:start w:val="1"/>
      <w:numFmt w:val="bullet"/>
      <w:lvlText w:val=""/>
      <w:lvlJc w:val="left"/>
      <w:pPr>
        <w:ind w:left="1068" w:hanging="360"/>
      </w:pPr>
      <w:rPr>
        <w:rFonts w:ascii="Symbol" w:hAnsi="Symbol" w:hint="default"/>
        <w:color w:val="auto"/>
        <w:sz w:val="22"/>
        <w:szCs w:val="22"/>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14070784"/>
    <w:multiLevelType w:val="multilevel"/>
    <w:tmpl w:val="73B8EA04"/>
    <w:lvl w:ilvl="0">
      <w:start w:val="1"/>
      <w:numFmt w:val="bullet"/>
      <w:lvlText w:val=""/>
      <w:lvlJc w:val="left"/>
      <w:pPr>
        <w:ind w:left="720" w:hanging="360"/>
      </w:pPr>
      <w:rPr>
        <w:rFonts w:ascii="Symbol" w:hAnsi="Symbol" w:hint="default"/>
        <w:color w:val="auto"/>
        <w:sz w:val="22"/>
        <w:szCs w:val="22"/>
      </w:rPr>
    </w:lvl>
    <w:lvl w:ilvl="1">
      <w:start w:val="1"/>
      <w:numFmt w:val="bullet"/>
      <w:lvlText w:val="o"/>
      <w:lvlJc w:val="left"/>
      <w:pPr>
        <w:ind w:left="720" w:hanging="360"/>
      </w:pPr>
      <w:rPr>
        <w:rFonts w:ascii="Courier New" w:hAnsi="Courier New" w:cs="Courier New"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F21783"/>
    <w:multiLevelType w:val="multilevel"/>
    <w:tmpl w:val="5B949242"/>
    <w:lvl w:ilvl="0">
      <w:start w:val="1"/>
      <w:numFmt w:val="bullet"/>
      <w:lvlText w:val=""/>
      <w:lvlJc w:val="left"/>
      <w:pPr>
        <w:ind w:left="720" w:hanging="360"/>
      </w:pPr>
      <w:rPr>
        <w:rFonts w:ascii="Symbol" w:hAnsi="Symbol" w:hint="default"/>
        <w:color w:val="auto"/>
        <w:sz w:val="22"/>
        <w:szCs w:val="22"/>
        <w:lang w:val="en-US"/>
      </w:rPr>
    </w:lvl>
    <w:lvl w:ilvl="1">
      <w:start w:val="1"/>
      <w:numFmt w:val="decimal"/>
      <w:isLgl/>
      <w:lvlText w:val="%1.%2."/>
      <w:lvlJc w:val="left"/>
      <w:pPr>
        <w:ind w:left="1080" w:hanging="720"/>
      </w:pPr>
      <w:rPr>
        <w:rFonts w:asciiTheme="majorHAnsi" w:hAnsiTheme="majorHAnsi" w:cstheme="majorHAnsi" w:hint="default"/>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71416D3"/>
    <w:multiLevelType w:val="hybridMultilevel"/>
    <w:tmpl w:val="C2BC28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7A377E6"/>
    <w:multiLevelType w:val="hybridMultilevel"/>
    <w:tmpl w:val="9456267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B64BCA"/>
    <w:multiLevelType w:val="hybridMultilevel"/>
    <w:tmpl w:val="A4F83B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7E27AF5"/>
    <w:multiLevelType w:val="hybridMultilevel"/>
    <w:tmpl w:val="CAF47F94"/>
    <w:lvl w:ilvl="0" w:tplc="080C0001">
      <w:start w:val="1"/>
      <w:numFmt w:val="bullet"/>
      <w:lvlText w:val=""/>
      <w:lvlJc w:val="left"/>
      <w:pPr>
        <w:ind w:left="2151" w:hanging="360"/>
      </w:pPr>
      <w:rPr>
        <w:rFonts w:ascii="Symbol" w:hAnsi="Symbol" w:hint="default"/>
      </w:rPr>
    </w:lvl>
    <w:lvl w:ilvl="1" w:tplc="080C0003" w:tentative="1">
      <w:start w:val="1"/>
      <w:numFmt w:val="bullet"/>
      <w:lvlText w:val="o"/>
      <w:lvlJc w:val="left"/>
      <w:pPr>
        <w:ind w:left="2871" w:hanging="360"/>
      </w:pPr>
      <w:rPr>
        <w:rFonts w:ascii="Courier New" w:hAnsi="Courier New" w:cs="Courier New" w:hint="default"/>
      </w:rPr>
    </w:lvl>
    <w:lvl w:ilvl="2" w:tplc="080C0005" w:tentative="1">
      <w:start w:val="1"/>
      <w:numFmt w:val="bullet"/>
      <w:lvlText w:val=""/>
      <w:lvlJc w:val="left"/>
      <w:pPr>
        <w:ind w:left="3591" w:hanging="360"/>
      </w:pPr>
      <w:rPr>
        <w:rFonts w:ascii="Wingdings" w:hAnsi="Wingdings" w:hint="default"/>
      </w:rPr>
    </w:lvl>
    <w:lvl w:ilvl="3" w:tplc="080C0001" w:tentative="1">
      <w:start w:val="1"/>
      <w:numFmt w:val="bullet"/>
      <w:lvlText w:val=""/>
      <w:lvlJc w:val="left"/>
      <w:pPr>
        <w:ind w:left="4311" w:hanging="360"/>
      </w:pPr>
      <w:rPr>
        <w:rFonts w:ascii="Symbol" w:hAnsi="Symbol" w:hint="default"/>
      </w:rPr>
    </w:lvl>
    <w:lvl w:ilvl="4" w:tplc="080C0003" w:tentative="1">
      <w:start w:val="1"/>
      <w:numFmt w:val="bullet"/>
      <w:lvlText w:val="o"/>
      <w:lvlJc w:val="left"/>
      <w:pPr>
        <w:ind w:left="5031" w:hanging="360"/>
      </w:pPr>
      <w:rPr>
        <w:rFonts w:ascii="Courier New" w:hAnsi="Courier New" w:cs="Courier New" w:hint="default"/>
      </w:rPr>
    </w:lvl>
    <w:lvl w:ilvl="5" w:tplc="080C0005" w:tentative="1">
      <w:start w:val="1"/>
      <w:numFmt w:val="bullet"/>
      <w:lvlText w:val=""/>
      <w:lvlJc w:val="left"/>
      <w:pPr>
        <w:ind w:left="5751" w:hanging="360"/>
      </w:pPr>
      <w:rPr>
        <w:rFonts w:ascii="Wingdings" w:hAnsi="Wingdings" w:hint="default"/>
      </w:rPr>
    </w:lvl>
    <w:lvl w:ilvl="6" w:tplc="080C0001" w:tentative="1">
      <w:start w:val="1"/>
      <w:numFmt w:val="bullet"/>
      <w:lvlText w:val=""/>
      <w:lvlJc w:val="left"/>
      <w:pPr>
        <w:ind w:left="6471" w:hanging="360"/>
      </w:pPr>
      <w:rPr>
        <w:rFonts w:ascii="Symbol" w:hAnsi="Symbol" w:hint="default"/>
      </w:rPr>
    </w:lvl>
    <w:lvl w:ilvl="7" w:tplc="080C0003" w:tentative="1">
      <w:start w:val="1"/>
      <w:numFmt w:val="bullet"/>
      <w:lvlText w:val="o"/>
      <w:lvlJc w:val="left"/>
      <w:pPr>
        <w:ind w:left="7191" w:hanging="360"/>
      </w:pPr>
      <w:rPr>
        <w:rFonts w:ascii="Courier New" w:hAnsi="Courier New" w:cs="Courier New" w:hint="default"/>
      </w:rPr>
    </w:lvl>
    <w:lvl w:ilvl="8" w:tplc="080C0005" w:tentative="1">
      <w:start w:val="1"/>
      <w:numFmt w:val="bullet"/>
      <w:lvlText w:val=""/>
      <w:lvlJc w:val="left"/>
      <w:pPr>
        <w:ind w:left="7911" w:hanging="360"/>
      </w:pPr>
      <w:rPr>
        <w:rFonts w:ascii="Wingdings" w:hAnsi="Wingdings" w:hint="default"/>
      </w:rPr>
    </w:lvl>
  </w:abstractNum>
  <w:abstractNum w:abstractNumId="10" w15:restartNumberingAfterBreak="0">
    <w:nsid w:val="1D795DC7"/>
    <w:multiLevelType w:val="hybridMultilevel"/>
    <w:tmpl w:val="D24EAEA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5DE6583"/>
    <w:multiLevelType w:val="multilevel"/>
    <w:tmpl w:val="51BC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8724DE"/>
    <w:multiLevelType w:val="hybridMultilevel"/>
    <w:tmpl w:val="1AD6E3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8C136D8"/>
    <w:multiLevelType w:val="hybridMultilevel"/>
    <w:tmpl w:val="247C13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3121FC"/>
    <w:multiLevelType w:val="hybridMultilevel"/>
    <w:tmpl w:val="7B6663E6"/>
    <w:lvl w:ilvl="0" w:tplc="FFFFFFFF">
      <w:start w:val="1"/>
      <w:numFmt w:val="bullet"/>
      <w:lvlText w:val=""/>
      <w:lvlJc w:val="left"/>
      <w:pPr>
        <w:ind w:left="720" w:hanging="360"/>
      </w:pPr>
      <w:rPr>
        <w:rFonts w:ascii="Symbol" w:hAnsi="Symbol" w:hint="default"/>
      </w:rPr>
    </w:lvl>
    <w:lvl w:ilvl="1" w:tplc="080C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E351AD"/>
    <w:multiLevelType w:val="hybridMultilevel"/>
    <w:tmpl w:val="D3E0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4505B5"/>
    <w:multiLevelType w:val="hybridMultilevel"/>
    <w:tmpl w:val="E12E33F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4CA5CC5"/>
    <w:multiLevelType w:val="hybridMultilevel"/>
    <w:tmpl w:val="56D6DE28"/>
    <w:lvl w:ilvl="0" w:tplc="67CEB3B0">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6D36BCE"/>
    <w:multiLevelType w:val="multilevel"/>
    <w:tmpl w:val="D7CC521C"/>
    <w:lvl w:ilvl="0">
      <w:start w:val="1"/>
      <w:numFmt w:val="bullet"/>
      <w:lvlText w:val="o"/>
      <w:lvlJc w:val="left"/>
      <w:pPr>
        <w:ind w:left="1068" w:hanging="360"/>
      </w:pPr>
      <w:rPr>
        <w:rFonts w:ascii="Courier New" w:hAnsi="Courier New" w:cs="Courier New" w:hint="default"/>
        <w:color w:val="auto"/>
        <w:sz w:val="22"/>
        <w:szCs w:val="22"/>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9" w15:restartNumberingAfterBreak="0">
    <w:nsid w:val="3F03243F"/>
    <w:multiLevelType w:val="multilevel"/>
    <w:tmpl w:val="7D384AEA"/>
    <w:lvl w:ilvl="0">
      <w:start w:val="1"/>
      <w:numFmt w:val="bullet"/>
      <w:lvlText w:val=""/>
      <w:lvlJc w:val="left"/>
      <w:pPr>
        <w:ind w:left="720" w:hanging="360"/>
      </w:pPr>
      <w:rPr>
        <w:rFonts w:ascii="Symbol" w:hAnsi="Symbol" w:hint="default"/>
        <w:color w:val="auto"/>
        <w:sz w:val="22"/>
        <w:szCs w:val="22"/>
        <w:lang w:val="en-US"/>
      </w:rPr>
    </w:lvl>
    <w:lvl w:ilvl="1">
      <w:start w:val="1"/>
      <w:numFmt w:val="bullet"/>
      <w:lvlText w:val="o"/>
      <w:lvlJc w:val="left"/>
      <w:pPr>
        <w:ind w:left="720" w:hanging="360"/>
      </w:pPr>
      <w:rPr>
        <w:rFonts w:ascii="Courier New" w:hAnsi="Courier New" w:cs="Courier New"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F876CB6"/>
    <w:multiLevelType w:val="hybridMultilevel"/>
    <w:tmpl w:val="0A7EE716"/>
    <w:lvl w:ilvl="0" w:tplc="080C0003">
      <w:start w:val="1"/>
      <w:numFmt w:val="bullet"/>
      <w:lvlText w:val="o"/>
      <w:lvlJc w:val="left"/>
      <w:pPr>
        <w:ind w:left="1068" w:hanging="360"/>
      </w:pPr>
      <w:rPr>
        <w:rFonts w:ascii="Courier New" w:hAnsi="Courier New" w:cs="Courier New"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1" w15:restartNumberingAfterBreak="0">
    <w:nsid w:val="406B0EA9"/>
    <w:multiLevelType w:val="multilevel"/>
    <w:tmpl w:val="382A0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E15CC9"/>
    <w:multiLevelType w:val="multilevel"/>
    <w:tmpl w:val="A8FEBA2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9D5B9E"/>
    <w:multiLevelType w:val="hybridMultilevel"/>
    <w:tmpl w:val="5B74D17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080C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FB431E"/>
    <w:multiLevelType w:val="hybridMultilevel"/>
    <w:tmpl w:val="1C962B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8FD5E8F"/>
    <w:multiLevelType w:val="hybridMultilevel"/>
    <w:tmpl w:val="7D7CA398"/>
    <w:lvl w:ilvl="0" w:tplc="335E0260">
      <w:start w:val="1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49CB2210"/>
    <w:multiLevelType w:val="multilevel"/>
    <w:tmpl w:val="DCAC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535640"/>
    <w:multiLevelType w:val="multilevel"/>
    <w:tmpl w:val="EBF80E26"/>
    <w:lvl w:ilvl="0">
      <w:start w:val="1"/>
      <w:numFmt w:val="decimal"/>
      <w:lvlText w:val="%1."/>
      <w:lvlJc w:val="left"/>
      <w:pPr>
        <w:ind w:left="720" w:hanging="360"/>
      </w:pPr>
      <w:rPr>
        <w:rFonts w:hint="default"/>
        <w:lang w:val="en-US"/>
      </w:rPr>
    </w:lvl>
    <w:lvl w:ilvl="1">
      <w:start w:val="1"/>
      <w:numFmt w:val="decimal"/>
      <w:isLgl/>
      <w:lvlText w:val="%1.%2."/>
      <w:lvlJc w:val="left"/>
      <w:pPr>
        <w:ind w:left="1080" w:hanging="720"/>
      </w:pPr>
      <w:rPr>
        <w:rFonts w:asciiTheme="majorHAnsi" w:hAnsiTheme="majorHAnsi" w:cstheme="majorHAnsi" w:hint="default"/>
        <w:color w:val="2F5496" w:themeColor="accent1"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31068D"/>
    <w:multiLevelType w:val="hybridMultilevel"/>
    <w:tmpl w:val="247C13D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5D7812FC"/>
    <w:multiLevelType w:val="multilevel"/>
    <w:tmpl w:val="2564BD4E"/>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8A353A"/>
    <w:multiLevelType w:val="multilevel"/>
    <w:tmpl w:val="7BBEA27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3462EE"/>
    <w:multiLevelType w:val="multilevel"/>
    <w:tmpl w:val="8C947308"/>
    <w:lvl w:ilvl="0">
      <w:start w:val="1"/>
      <w:numFmt w:val="bullet"/>
      <w:lvlText w:val=""/>
      <w:lvlJc w:val="left"/>
      <w:pPr>
        <w:ind w:left="720" w:hanging="360"/>
      </w:pPr>
      <w:rPr>
        <w:rFonts w:ascii="Symbol" w:hAnsi="Symbol" w:hint="default"/>
        <w:color w:val="auto"/>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2715121"/>
    <w:multiLevelType w:val="hybridMultilevel"/>
    <w:tmpl w:val="49EAFC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5EC5881"/>
    <w:multiLevelType w:val="hybridMultilevel"/>
    <w:tmpl w:val="E2A42D9E"/>
    <w:lvl w:ilvl="0" w:tplc="67CEB3B0">
      <w:start w:val="1"/>
      <w:numFmt w:val="bullet"/>
      <w:lvlText w:val=""/>
      <w:lvlJc w:val="left"/>
      <w:pPr>
        <w:ind w:left="720" w:hanging="360"/>
      </w:pPr>
      <w:rPr>
        <w:rFonts w:ascii="Symbol" w:hAnsi="Symbol" w:hint="default"/>
        <w:color w:val="auto"/>
        <w:sz w:val="22"/>
        <w:szCs w:val="22"/>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6BD2A01"/>
    <w:multiLevelType w:val="multilevel"/>
    <w:tmpl w:val="683055BA"/>
    <w:lvl w:ilvl="0">
      <w:start w:val="1"/>
      <w:numFmt w:val="bullet"/>
      <w:lvlText w:val=""/>
      <w:lvlJc w:val="left"/>
      <w:pPr>
        <w:ind w:left="720" w:hanging="360"/>
      </w:pPr>
      <w:rPr>
        <w:rFonts w:ascii="Symbol" w:hAnsi="Symbol" w:hint="default"/>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981E6E"/>
    <w:multiLevelType w:val="multilevel"/>
    <w:tmpl w:val="4BDA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ADC3A4B"/>
    <w:multiLevelType w:val="hybridMultilevel"/>
    <w:tmpl w:val="406244AE"/>
    <w:lvl w:ilvl="0" w:tplc="67CEB3B0">
      <w:start w:val="1"/>
      <w:numFmt w:val="bullet"/>
      <w:lvlText w:val=""/>
      <w:lvlJc w:val="left"/>
      <w:pPr>
        <w:ind w:left="1071" w:hanging="360"/>
      </w:pPr>
      <w:rPr>
        <w:rFonts w:ascii="Symbol" w:hAnsi="Symbol" w:hint="default"/>
        <w:color w:val="auto"/>
        <w:sz w:val="22"/>
        <w:szCs w:val="22"/>
      </w:rPr>
    </w:lvl>
    <w:lvl w:ilvl="1" w:tplc="080C0003">
      <w:start w:val="1"/>
      <w:numFmt w:val="bullet"/>
      <w:lvlText w:val="o"/>
      <w:lvlJc w:val="left"/>
      <w:pPr>
        <w:ind w:left="1791" w:hanging="360"/>
      </w:pPr>
      <w:rPr>
        <w:rFonts w:ascii="Courier New" w:hAnsi="Courier New" w:cs="Courier New" w:hint="default"/>
      </w:rPr>
    </w:lvl>
    <w:lvl w:ilvl="2" w:tplc="080C0005" w:tentative="1">
      <w:start w:val="1"/>
      <w:numFmt w:val="bullet"/>
      <w:lvlText w:val=""/>
      <w:lvlJc w:val="left"/>
      <w:pPr>
        <w:ind w:left="2511" w:hanging="360"/>
      </w:pPr>
      <w:rPr>
        <w:rFonts w:ascii="Wingdings" w:hAnsi="Wingdings" w:hint="default"/>
      </w:rPr>
    </w:lvl>
    <w:lvl w:ilvl="3" w:tplc="080C0001" w:tentative="1">
      <w:start w:val="1"/>
      <w:numFmt w:val="bullet"/>
      <w:lvlText w:val=""/>
      <w:lvlJc w:val="left"/>
      <w:pPr>
        <w:ind w:left="3231" w:hanging="360"/>
      </w:pPr>
      <w:rPr>
        <w:rFonts w:ascii="Symbol" w:hAnsi="Symbol" w:hint="default"/>
      </w:rPr>
    </w:lvl>
    <w:lvl w:ilvl="4" w:tplc="080C0003" w:tentative="1">
      <w:start w:val="1"/>
      <w:numFmt w:val="bullet"/>
      <w:lvlText w:val="o"/>
      <w:lvlJc w:val="left"/>
      <w:pPr>
        <w:ind w:left="3951" w:hanging="360"/>
      </w:pPr>
      <w:rPr>
        <w:rFonts w:ascii="Courier New" w:hAnsi="Courier New" w:cs="Courier New" w:hint="default"/>
      </w:rPr>
    </w:lvl>
    <w:lvl w:ilvl="5" w:tplc="080C0005" w:tentative="1">
      <w:start w:val="1"/>
      <w:numFmt w:val="bullet"/>
      <w:lvlText w:val=""/>
      <w:lvlJc w:val="left"/>
      <w:pPr>
        <w:ind w:left="4671" w:hanging="360"/>
      </w:pPr>
      <w:rPr>
        <w:rFonts w:ascii="Wingdings" w:hAnsi="Wingdings" w:hint="default"/>
      </w:rPr>
    </w:lvl>
    <w:lvl w:ilvl="6" w:tplc="080C0001" w:tentative="1">
      <w:start w:val="1"/>
      <w:numFmt w:val="bullet"/>
      <w:lvlText w:val=""/>
      <w:lvlJc w:val="left"/>
      <w:pPr>
        <w:ind w:left="5391" w:hanging="360"/>
      </w:pPr>
      <w:rPr>
        <w:rFonts w:ascii="Symbol" w:hAnsi="Symbol" w:hint="default"/>
      </w:rPr>
    </w:lvl>
    <w:lvl w:ilvl="7" w:tplc="080C0003" w:tentative="1">
      <w:start w:val="1"/>
      <w:numFmt w:val="bullet"/>
      <w:lvlText w:val="o"/>
      <w:lvlJc w:val="left"/>
      <w:pPr>
        <w:ind w:left="6111" w:hanging="360"/>
      </w:pPr>
      <w:rPr>
        <w:rFonts w:ascii="Courier New" w:hAnsi="Courier New" w:cs="Courier New" w:hint="default"/>
      </w:rPr>
    </w:lvl>
    <w:lvl w:ilvl="8" w:tplc="080C0005" w:tentative="1">
      <w:start w:val="1"/>
      <w:numFmt w:val="bullet"/>
      <w:lvlText w:val=""/>
      <w:lvlJc w:val="left"/>
      <w:pPr>
        <w:ind w:left="6831" w:hanging="360"/>
      </w:pPr>
      <w:rPr>
        <w:rFonts w:ascii="Wingdings" w:hAnsi="Wingdings" w:hint="default"/>
      </w:rPr>
    </w:lvl>
  </w:abstractNum>
  <w:abstractNum w:abstractNumId="37" w15:restartNumberingAfterBreak="0">
    <w:nsid w:val="6B4D27C4"/>
    <w:multiLevelType w:val="hybridMultilevel"/>
    <w:tmpl w:val="9744AD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D07020B"/>
    <w:multiLevelType w:val="hybridMultilevel"/>
    <w:tmpl w:val="1DD03764"/>
    <w:lvl w:ilvl="0" w:tplc="FFFFFFFF">
      <w:start w:val="1"/>
      <w:numFmt w:val="bullet"/>
      <w:lvlText w:val=""/>
      <w:lvlJc w:val="left"/>
      <w:pPr>
        <w:ind w:left="720" w:hanging="360"/>
      </w:pPr>
      <w:rPr>
        <w:rFonts w:ascii="Symbol" w:hAnsi="Symbol" w:hint="default"/>
        <w:color w:val="auto"/>
        <w:sz w:val="22"/>
        <w:szCs w:val="2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6E1F59E4"/>
    <w:multiLevelType w:val="hybridMultilevel"/>
    <w:tmpl w:val="DAC2D7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6EEC33E6"/>
    <w:multiLevelType w:val="hybridMultilevel"/>
    <w:tmpl w:val="959ABC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6F540F16"/>
    <w:multiLevelType w:val="hybridMultilevel"/>
    <w:tmpl w:val="FFFFFFFF"/>
    <w:lvl w:ilvl="0" w:tplc="B184C0EA">
      <w:start w:val="1"/>
      <w:numFmt w:val="bullet"/>
      <w:lvlText w:val="o"/>
      <w:lvlJc w:val="left"/>
      <w:pPr>
        <w:ind w:left="720" w:hanging="360"/>
      </w:pPr>
      <w:rPr>
        <w:rFonts w:ascii="Courier New" w:hAnsi="Courier New" w:hint="default"/>
      </w:rPr>
    </w:lvl>
    <w:lvl w:ilvl="1" w:tplc="540A6164">
      <w:start w:val="1"/>
      <w:numFmt w:val="bullet"/>
      <w:lvlText w:val="o"/>
      <w:lvlJc w:val="left"/>
      <w:pPr>
        <w:ind w:left="1440" w:hanging="360"/>
      </w:pPr>
      <w:rPr>
        <w:rFonts w:ascii="Courier New" w:hAnsi="Courier New" w:hint="default"/>
      </w:rPr>
    </w:lvl>
    <w:lvl w:ilvl="2" w:tplc="93780416">
      <w:start w:val="1"/>
      <w:numFmt w:val="bullet"/>
      <w:lvlText w:val=""/>
      <w:lvlJc w:val="left"/>
      <w:pPr>
        <w:ind w:left="2160" w:hanging="360"/>
      </w:pPr>
      <w:rPr>
        <w:rFonts w:ascii="Wingdings" w:hAnsi="Wingdings" w:hint="default"/>
      </w:rPr>
    </w:lvl>
    <w:lvl w:ilvl="3" w:tplc="20B898B0">
      <w:start w:val="1"/>
      <w:numFmt w:val="bullet"/>
      <w:lvlText w:val=""/>
      <w:lvlJc w:val="left"/>
      <w:pPr>
        <w:ind w:left="2880" w:hanging="360"/>
      </w:pPr>
      <w:rPr>
        <w:rFonts w:ascii="Symbol" w:hAnsi="Symbol" w:hint="default"/>
      </w:rPr>
    </w:lvl>
    <w:lvl w:ilvl="4" w:tplc="FEA0DA22">
      <w:start w:val="1"/>
      <w:numFmt w:val="bullet"/>
      <w:lvlText w:val="o"/>
      <w:lvlJc w:val="left"/>
      <w:pPr>
        <w:ind w:left="3600" w:hanging="360"/>
      </w:pPr>
      <w:rPr>
        <w:rFonts w:ascii="Courier New" w:hAnsi="Courier New" w:hint="default"/>
      </w:rPr>
    </w:lvl>
    <w:lvl w:ilvl="5" w:tplc="C5888136">
      <w:start w:val="1"/>
      <w:numFmt w:val="bullet"/>
      <w:lvlText w:val=""/>
      <w:lvlJc w:val="left"/>
      <w:pPr>
        <w:ind w:left="4320" w:hanging="360"/>
      </w:pPr>
      <w:rPr>
        <w:rFonts w:ascii="Wingdings" w:hAnsi="Wingdings" w:hint="default"/>
      </w:rPr>
    </w:lvl>
    <w:lvl w:ilvl="6" w:tplc="9398A1E6">
      <w:start w:val="1"/>
      <w:numFmt w:val="bullet"/>
      <w:lvlText w:val=""/>
      <w:lvlJc w:val="left"/>
      <w:pPr>
        <w:ind w:left="5040" w:hanging="360"/>
      </w:pPr>
      <w:rPr>
        <w:rFonts w:ascii="Symbol" w:hAnsi="Symbol" w:hint="default"/>
      </w:rPr>
    </w:lvl>
    <w:lvl w:ilvl="7" w:tplc="A4BE8222">
      <w:start w:val="1"/>
      <w:numFmt w:val="bullet"/>
      <w:lvlText w:val="o"/>
      <w:lvlJc w:val="left"/>
      <w:pPr>
        <w:ind w:left="5760" w:hanging="360"/>
      </w:pPr>
      <w:rPr>
        <w:rFonts w:ascii="Courier New" w:hAnsi="Courier New" w:hint="default"/>
      </w:rPr>
    </w:lvl>
    <w:lvl w:ilvl="8" w:tplc="D0B06624">
      <w:start w:val="1"/>
      <w:numFmt w:val="bullet"/>
      <w:lvlText w:val=""/>
      <w:lvlJc w:val="left"/>
      <w:pPr>
        <w:ind w:left="6480" w:hanging="360"/>
      </w:pPr>
      <w:rPr>
        <w:rFonts w:ascii="Wingdings" w:hAnsi="Wingdings" w:hint="default"/>
      </w:rPr>
    </w:lvl>
  </w:abstractNum>
  <w:abstractNum w:abstractNumId="42" w15:restartNumberingAfterBreak="0">
    <w:nsid w:val="712F5907"/>
    <w:multiLevelType w:val="hybridMultilevel"/>
    <w:tmpl w:val="A07AEBA8"/>
    <w:lvl w:ilvl="0" w:tplc="544A1E7C">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71DA7745"/>
    <w:multiLevelType w:val="hybridMultilevel"/>
    <w:tmpl w:val="2AEC096E"/>
    <w:lvl w:ilvl="0" w:tplc="67CEB3B0">
      <w:start w:val="1"/>
      <w:numFmt w:val="bullet"/>
      <w:lvlText w:val=""/>
      <w:lvlJc w:val="left"/>
      <w:pPr>
        <w:ind w:left="720" w:hanging="360"/>
      </w:pPr>
      <w:rPr>
        <w:rFonts w:ascii="Symbol" w:hAnsi="Symbol" w:hint="default"/>
        <w:color w:val="auto"/>
        <w:sz w:val="22"/>
        <w:szCs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75632E79"/>
    <w:multiLevelType w:val="multilevel"/>
    <w:tmpl w:val="47B2E4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93511F6"/>
    <w:multiLevelType w:val="hybridMultilevel"/>
    <w:tmpl w:val="FFFFFFFF"/>
    <w:lvl w:ilvl="0" w:tplc="622A560A">
      <w:start w:val="1"/>
      <w:numFmt w:val="bullet"/>
      <w:lvlText w:val=""/>
      <w:lvlJc w:val="left"/>
      <w:pPr>
        <w:ind w:left="720" w:hanging="360"/>
      </w:pPr>
      <w:rPr>
        <w:rFonts w:ascii="Symbol" w:hAnsi="Symbol" w:hint="default"/>
      </w:rPr>
    </w:lvl>
    <w:lvl w:ilvl="1" w:tplc="4D681CB4">
      <w:start w:val="1"/>
      <w:numFmt w:val="bullet"/>
      <w:lvlText w:val="o"/>
      <w:lvlJc w:val="left"/>
      <w:pPr>
        <w:ind w:left="1440" w:hanging="360"/>
      </w:pPr>
      <w:rPr>
        <w:rFonts w:ascii="Courier New" w:hAnsi="Courier New" w:hint="default"/>
      </w:rPr>
    </w:lvl>
    <w:lvl w:ilvl="2" w:tplc="97F0823E">
      <w:start w:val="1"/>
      <w:numFmt w:val="bullet"/>
      <w:lvlText w:val=""/>
      <w:lvlJc w:val="left"/>
      <w:pPr>
        <w:ind w:left="2160" w:hanging="360"/>
      </w:pPr>
      <w:rPr>
        <w:rFonts w:ascii="Wingdings" w:hAnsi="Wingdings" w:hint="default"/>
      </w:rPr>
    </w:lvl>
    <w:lvl w:ilvl="3" w:tplc="F1C00282">
      <w:start w:val="1"/>
      <w:numFmt w:val="bullet"/>
      <w:lvlText w:val=""/>
      <w:lvlJc w:val="left"/>
      <w:pPr>
        <w:ind w:left="2880" w:hanging="360"/>
      </w:pPr>
      <w:rPr>
        <w:rFonts w:ascii="Symbol" w:hAnsi="Symbol" w:hint="default"/>
      </w:rPr>
    </w:lvl>
    <w:lvl w:ilvl="4" w:tplc="AEB04A86">
      <w:start w:val="1"/>
      <w:numFmt w:val="bullet"/>
      <w:lvlText w:val="o"/>
      <w:lvlJc w:val="left"/>
      <w:pPr>
        <w:ind w:left="3600" w:hanging="360"/>
      </w:pPr>
      <w:rPr>
        <w:rFonts w:ascii="Courier New" w:hAnsi="Courier New" w:hint="default"/>
      </w:rPr>
    </w:lvl>
    <w:lvl w:ilvl="5" w:tplc="520E58DA">
      <w:start w:val="1"/>
      <w:numFmt w:val="bullet"/>
      <w:lvlText w:val=""/>
      <w:lvlJc w:val="left"/>
      <w:pPr>
        <w:ind w:left="4320" w:hanging="360"/>
      </w:pPr>
      <w:rPr>
        <w:rFonts w:ascii="Wingdings" w:hAnsi="Wingdings" w:hint="default"/>
      </w:rPr>
    </w:lvl>
    <w:lvl w:ilvl="6" w:tplc="3F7ABBD2">
      <w:start w:val="1"/>
      <w:numFmt w:val="bullet"/>
      <w:lvlText w:val=""/>
      <w:lvlJc w:val="left"/>
      <w:pPr>
        <w:ind w:left="5040" w:hanging="360"/>
      </w:pPr>
      <w:rPr>
        <w:rFonts w:ascii="Symbol" w:hAnsi="Symbol" w:hint="default"/>
      </w:rPr>
    </w:lvl>
    <w:lvl w:ilvl="7" w:tplc="E3500DC0">
      <w:start w:val="1"/>
      <w:numFmt w:val="bullet"/>
      <w:lvlText w:val="o"/>
      <w:lvlJc w:val="left"/>
      <w:pPr>
        <w:ind w:left="5760" w:hanging="360"/>
      </w:pPr>
      <w:rPr>
        <w:rFonts w:ascii="Courier New" w:hAnsi="Courier New" w:hint="default"/>
      </w:rPr>
    </w:lvl>
    <w:lvl w:ilvl="8" w:tplc="BBB6ED5C">
      <w:start w:val="1"/>
      <w:numFmt w:val="bullet"/>
      <w:lvlText w:val=""/>
      <w:lvlJc w:val="left"/>
      <w:pPr>
        <w:ind w:left="6480" w:hanging="360"/>
      </w:pPr>
      <w:rPr>
        <w:rFonts w:ascii="Wingdings" w:hAnsi="Wingdings" w:hint="default"/>
      </w:rPr>
    </w:lvl>
  </w:abstractNum>
  <w:abstractNum w:abstractNumId="46" w15:restartNumberingAfterBreak="0">
    <w:nsid w:val="7C440EFE"/>
    <w:multiLevelType w:val="hybridMultilevel"/>
    <w:tmpl w:val="3A2657D4"/>
    <w:lvl w:ilvl="0" w:tplc="F6EC799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D66FE8"/>
    <w:multiLevelType w:val="multilevel"/>
    <w:tmpl w:val="E990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3D582D"/>
    <w:multiLevelType w:val="hybridMultilevel"/>
    <w:tmpl w:val="E952AD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45113245">
    <w:abstractNumId w:val="41"/>
  </w:num>
  <w:num w:numId="2" w16cid:durableId="372972504">
    <w:abstractNumId w:val="33"/>
  </w:num>
  <w:num w:numId="3" w16cid:durableId="397704467">
    <w:abstractNumId w:val="15"/>
  </w:num>
  <w:num w:numId="4" w16cid:durableId="1463838783">
    <w:abstractNumId w:val="38"/>
  </w:num>
  <w:num w:numId="5" w16cid:durableId="387921180">
    <w:abstractNumId w:val="16"/>
  </w:num>
  <w:num w:numId="6" w16cid:durableId="213853044">
    <w:abstractNumId w:val="1"/>
  </w:num>
  <w:num w:numId="7" w16cid:durableId="1985352377">
    <w:abstractNumId w:val="46"/>
  </w:num>
  <w:num w:numId="8" w16cid:durableId="362436319">
    <w:abstractNumId w:val="42"/>
  </w:num>
  <w:num w:numId="9" w16cid:durableId="2132169505">
    <w:abstractNumId w:val="14"/>
  </w:num>
  <w:num w:numId="10" w16cid:durableId="2137987195">
    <w:abstractNumId w:val="36"/>
  </w:num>
  <w:num w:numId="11" w16cid:durableId="1612974576">
    <w:abstractNumId w:val="27"/>
  </w:num>
  <w:num w:numId="12" w16cid:durableId="79451386">
    <w:abstractNumId w:val="18"/>
  </w:num>
  <w:num w:numId="13" w16cid:durableId="857021">
    <w:abstractNumId w:val="34"/>
  </w:num>
  <w:num w:numId="14" w16cid:durableId="132531007">
    <w:abstractNumId w:val="3"/>
  </w:num>
  <w:num w:numId="15" w16cid:durableId="789520276">
    <w:abstractNumId w:val="17"/>
  </w:num>
  <w:num w:numId="16" w16cid:durableId="85663349">
    <w:abstractNumId w:val="23"/>
  </w:num>
  <w:num w:numId="17" w16cid:durableId="1996491799">
    <w:abstractNumId w:val="43"/>
  </w:num>
  <w:num w:numId="18" w16cid:durableId="738669255">
    <w:abstractNumId w:val="5"/>
  </w:num>
  <w:num w:numId="19" w16cid:durableId="1411151838">
    <w:abstractNumId w:val="19"/>
  </w:num>
  <w:num w:numId="20" w16cid:durableId="1630437354">
    <w:abstractNumId w:val="20"/>
  </w:num>
  <w:num w:numId="21" w16cid:durableId="501891957">
    <w:abstractNumId w:val="8"/>
  </w:num>
  <w:num w:numId="22" w16cid:durableId="368604542">
    <w:abstractNumId w:val="4"/>
  </w:num>
  <w:num w:numId="23" w16cid:durableId="325940794">
    <w:abstractNumId w:val="31"/>
  </w:num>
  <w:num w:numId="24" w16cid:durableId="1404180781">
    <w:abstractNumId w:val="0"/>
  </w:num>
  <w:num w:numId="25" w16cid:durableId="160199814">
    <w:abstractNumId w:val="25"/>
  </w:num>
  <w:num w:numId="26" w16cid:durableId="1371026336">
    <w:abstractNumId w:val="44"/>
  </w:num>
  <w:num w:numId="27" w16cid:durableId="829903349">
    <w:abstractNumId w:val="39"/>
  </w:num>
  <w:num w:numId="28" w16cid:durableId="2047833331">
    <w:abstractNumId w:val="47"/>
  </w:num>
  <w:num w:numId="29" w16cid:durableId="1997757820">
    <w:abstractNumId w:val="35"/>
  </w:num>
  <w:num w:numId="30" w16cid:durableId="2055811032">
    <w:abstractNumId w:val="11"/>
  </w:num>
  <w:num w:numId="31" w16cid:durableId="50232321">
    <w:abstractNumId w:val="21"/>
  </w:num>
  <w:num w:numId="32" w16cid:durableId="691220851">
    <w:abstractNumId w:val="2"/>
  </w:num>
  <w:num w:numId="33" w16cid:durableId="1328631543">
    <w:abstractNumId w:val="28"/>
  </w:num>
  <w:num w:numId="34" w16cid:durableId="1284919500">
    <w:abstractNumId w:val="13"/>
  </w:num>
  <w:num w:numId="35" w16cid:durableId="412703656">
    <w:abstractNumId w:val="9"/>
  </w:num>
  <w:num w:numId="36" w16cid:durableId="1199702972">
    <w:abstractNumId w:val="32"/>
  </w:num>
  <w:num w:numId="37" w16cid:durableId="455761363">
    <w:abstractNumId w:val="12"/>
  </w:num>
  <w:num w:numId="38" w16cid:durableId="414088934">
    <w:abstractNumId w:val="30"/>
  </w:num>
  <w:num w:numId="39" w16cid:durableId="1519387780">
    <w:abstractNumId w:val="22"/>
  </w:num>
  <w:num w:numId="40" w16cid:durableId="7683576">
    <w:abstractNumId w:val="29"/>
  </w:num>
  <w:num w:numId="41" w16cid:durableId="1312370481">
    <w:abstractNumId w:val="10"/>
  </w:num>
  <w:num w:numId="42" w16cid:durableId="115563388">
    <w:abstractNumId w:val="40"/>
  </w:num>
  <w:num w:numId="43" w16cid:durableId="1189413411">
    <w:abstractNumId w:val="6"/>
  </w:num>
  <w:num w:numId="44" w16cid:durableId="624503829">
    <w:abstractNumId w:val="37"/>
  </w:num>
  <w:num w:numId="45" w16cid:durableId="1223174072">
    <w:abstractNumId w:val="48"/>
  </w:num>
  <w:num w:numId="46" w16cid:durableId="1929188431">
    <w:abstractNumId w:val="7"/>
  </w:num>
  <w:num w:numId="47" w16cid:durableId="1205868615">
    <w:abstractNumId w:val="26"/>
  </w:num>
  <w:num w:numId="48" w16cid:durableId="457532587">
    <w:abstractNumId w:val="45"/>
  </w:num>
  <w:num w:numId="49" w16cid:durableId="748043619">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04"/>
    <w:rsid w:val="0000186F"/>
    <w:rsid w:val="00001EF4"/>
    <w:rsid w:val="000029A7"/>
    <w:rsid w:val="000032D9"/>
    <w:rsid w:val="00003F83"/>
    <w:rsid w:val="00004643"/>
    <w:rsid w:val="0000466D"/>
    <w:rsid w:val="000047C8"/>
    <w:rsid w:val="00005085"/>
    <w:rsid w:val="000050D2"/>
    <w:rsid w:val="00006672"/>
    <w:rsid w:val="0001160F"/>
    <w:rsid w:val="0001167A"/>
    <w:rsid w:val="0001190A"/>
    <w:rsid w:val="0001236F"/>
    <w:rsid w:val="0001272A"/>
    <w:rsid w:val="000133F5"/>
    <w:rsid w:val="000143AF"/>
    <w:rsid w:val="00014CAA"/>
    <w:rsid w:val="00015D24"/>
    <w:rsid w:val="000160BC"/>
    <w:rsid w:val="00016880"/>
    <w:rsid w:val="00016AE4"/>
    <w:rsid w:val="000174D2"/>
    <w:rsid w:val="00017C57"/>
    <w:rsid w:val="000203DF"/>
    <w:rsid w:val="000205A9"/>
    <w:rsid w:val="00020B91"/>
    <w:rsid w:val="000212E3"/>
    <w:rsid w:val="0002373E"/>
    <w:rsid w:val="00023F46"/>
    <w:rsid w:val="00024A73"/>
    <w:rsid w:val="00024E64"/>
    <w:rsid w:val="000255F0"/>
    <w:rsid w:val="00025F81"/>
    <w:rsid w:val="00026678"/>
    <w:rsid w:val="000278BE"/>
    <w:rsid w:val="00027B76"/>
    <w:rsid w:val="000306AA"/>
    <w:rsid w:val="0003167F"/>
    <w:rsid w:val="00031802"/>
    <w:rsid w:val="00033B2F"/>
    <w:rsid w:val="00034737"/>
    <w:rsid w:val="00034880"/>
    <w:rsid w:val="00034C1A"/>
    <w:rsid w:val="00034C2F"/>
    <w:rsid w:val="000355E8"/>
    <w:rsid w:val="00035601"/>
    <w:rsid w:val="00035E97"/>
    <w:rsid w:val="00037490"/>
    <w:rsid w:val="000377A2"/>
    <w:rsid w:val="00037B07"/>
    <w:rsid w:val="00037EBF"/>
    <w:rsid w:val="0004165A"/>
    <w:rsid w:val="00042D62"/>
    <w:rsid w:val="00042EE8"/>
    <w:rsid w:val="000432B4"/>
    <w:rsid w:val="00045B25"/>
    <w:rsid w:val="000474C4"/>
    <w:rsid w:val="00050F73"/>
    <w:rsid w:val="000515B8"/>
    <w:rsid w:val="00051CF8"/>
    <w:rsid w:val="00052041"/>
    <w:rsid w:val="00052F7A"/>
    <w:rsid w:val="00053589"/>
    <w:rsid w:val="00053CEC"/>
    <w:rsid w:val="0005771D"/>
    <w:rsid w:val="000604E0"/>
    <w:rsid w:val="00060643"/>
    <w:rsid w:val="0006097B"/>
    <w:rsid w:val="000615E8"/>
    <w:rsid w:val="00061CA6"/>
    <w:rsid w:val="00061F28"/>
    <w:rsid w:val="00062EB0"/>
    <w:rsid w:val="0006576F"/>
    <w:rsid w:val="00065A01"/>
    <w:rsid w:val="00065FD8"/>
    <w:rsid w:val="00066AA3"/>
    <w:rsid w:val="00067E07"/>
    <w:rsid w:val="0007059F"/>
    <w:rsid w:val="00070B85"/>
    <w:rsid w:val="00071AEF"/>
    <w:rsid w:val="00072867"/>
    <w:rsid w:val="000734C6"/>
    <w:rsid w:val="00074E6E"/>
    <w:rsid w:val="000754DC"/>
    <w:rsid w:val="00076A5A"/>
    <w:rsid w:val="00076FB8"/>
    <w:rsid w:val="00077C9D"/>
    <w:rsid w:val="00080565"/>
    <w:rsid w:val="00081744"/>
    <w:rsid w:val="00081B84"/>
    <w:rsid w:val="00081D9C"/>
    <w:rsid w:val="00082334"/>
    <w:rsid w:val="00082C3C"/>
    <w:rsid w:val="00082C48"/>
    <w:rsid w:val="00083A82"/>
    <w:rsid w:val="00083B03"/>
    <w:rsid w:val="00085289"/>
    <w:rsid w:val="0008630C"/>
    <w:rsid w:val="000869DC"/>
    <w:rsid w:val="0009064E"/>
    <w:rsid w:val="00092A29"/>
    <w:rsid w:val="0009394A"/>
    <w:rsid w:val="00093B6D"/>
    <w:rsid w:val="0009653D"/>
    <w:rsid w:val="00097221"/>
    <w:rsid w:val="000973EC"/>
    <w:rsid w:val="00097B77"/>
    <w:rsid w:val="000A039A"/>
    <w:rsid w:val="000A0495"/>
    <w:rsid w:val="000A1552"/>
    <w:rsid w:val="000A18B7"/>
    <w:rsid w:val="000A1C3C"/>
    <w:rsid w:val="000A22EF"/>
    <w:rsid w:val="000A2869"/>
    <w:rsid w:val="000A5005"/>
    <w:rsid w:val="000A5485"/>
    <w:rsid w:val="000A5CFF"/>
    <w:rsid w:val="000A6AF0"/>
    <w:rsid w:val="000A7DB2"/>
    <w:rsid w:val="000B0594"/>
    <w:rsid w:val="000B2948"/>
    <w:rsid w:val="000B344B"/>
    <w:rsid w:val="000B3E01"/>
    <w:rsid w:val="000B4334"/>
    <w:rsid w:val="000B4BD6"/>
    <w:rsid w:val="000B6767"/>
    <w:rsid w:val="000B6AF8"/>
    <w:rsid w:val="000B6FE9"/>
    <w:rsid w:val="000C0764"/>
    <w:rsid w:val="000C11EB"/>
    <w:rsid w:val="000C1CFE"/>
    <w:rsid w:val="000C1E48"/>
    <w:rsid w:val="000C2E43"/>
    <w:rsid w:val="000C5281"/>
    <w:rsid w:val="000C5DE0"/>
    <w:rsid w:val="000C5F69"/>
    <w:rsid w:val="000C5F96"/>
    <w:rsid w:val="000C6F39"/>
    <w:rsid w:val="000C7E99"/>
    <w:rsid w:val="000D0067"/>
    <w:rsid w:val="000D01C2"/>
    <w:rsid w:val="000D03C2"/>
    <w:rsid w:val="000D0B1E"/>
    <w:rsid w:val="000D0C5E"/>
    <w:rsid w:val="000D2332"/>
    <w:rsid w:val="000D2516"/>
    <w:rsid w:val="000D2D8C"/>
    <w:rsid w:val="000D32B1"/>
    <w:rsid w:val="000D35FA"/>
    <w:rsid w:val="000D38EB"/>
    <w:rsid w:val="000D3A8E"/>
    <w:rsid w:val="000D4134"/>
    <w:rsid w:val="000D63D0"/>
    <w:rsid w:val="000D6F4E"/>
    <w:rsid w:val="000D71B9"/>
    <w:rsid w:val="000D7AB7"/>
    <w:rsid w:val="000E3673"/>
    <w:rsid w:val="000E4302"/>
    <w:rsid w:val="000E4B36"/>
    <w:rsid w:val="000E55B5"/>
    <w:rsid w:val="000E5C76"/>
    <w:rsid w:val="000E665F"/>
    <w:rsid w:val="000E69FF"/>
    <w:rsid w:val="000E75B2"/>
    <w:rsid w:val="000E7E61"/>
    <w:rsid w:val="000F0412"/>
    <w:rsid w:val="000F1C75"/>
    <w:rsid w:val="000F2422"/>
    <w:rsid w:val="000F2B8C"/>
    <w:rsid w:val="000F3791"/>
    <w:rsid w:val="000F3948"/>
    <w:rsid w:val="000F39A6"/>
    <w:rsid w:val="000F57AA"/>
    <w:rsid w:val="00100695"/>
    <w:rsid w:val="00101DD4"/>
    <w:rsid w:val="0010255D"/>
    <w:rsid w:val="00102B32"/>
    <w:rsid w:val="001037E8"/>
    <w:rsid w:val="00104234"/>
    <w:rsid w:val="00104754"/>
    <w:rsid w:val="001105EC"/>
    <w:rsid w:val="00110CA3"/>
    <w:rsid w:val="00110D9F"/>
    <w:rsid w:val="00110E04"/>
    <w:rsid w:val="00111049"/>
    <w:rsid w:val="00111927"/>
    <w:rsid w:val="00112F45"/>
    <w:rsid w:val="00112FF2"/>
    <w:rsid w:val="0011354C"/>
    <w:rsid w:val="00113685"/>
    <w:rsid w:val="001142B9"/>
    <w:rsid w:val="00114976"/>
    <w:rsid w:val="001152BF"/>
    <w:rsid w:val="001155A4"/>
    <w:rsid w:val="001156ED"/>
    <w:rsid w:val="00116409"/>
    <w:rsid w:val="0011658B"/>
    <w:rsid w:val="00117672"/>
    <w:rsid w:val="00121B2C"/>
    <w:rsid w:val="0012204C"/>
    <w:rsid w:val="001229F7"/>
    <w:rsid w:val="00122CA6"/>
    <w:rsid w:val="00123939"/>
    <w:rsid w:val="00124458"/>
    <w:rsid w:val="00124AD8"/>
    <w:rsid w:val="00126C71"/>
    <w:rsid w:val="00126E6B"/>
    <w:rsid w:val="00127831"/>
    <w:rsid w:val="001278BD"/>
    <w:rsid w:val="00127EAC"/>
    <w:rsid w:val="00127FF7"/>
    <w:rsid w:val="0012DE03"/>
    <w:rsid w:val="001301D2"/>
    <w:rsid w:val="00130440"/>
    <w:rsid w:val="00130E0D"/>
    <w:rsid w:val="00131CF4"/>
    <w:rsid w:val="00131F56"/>
    <w:rsid w:val="00131FFA"/>
    <w:rsid w:val="00132F1D"/>
    <w:rsid w:val="00133129"/>
    <w:rsid w:val="00134651"/>
    <w:rsid w:val="0013472C"/>
    <w:rsid w:val="001347F4"/>
    <w:rsid w:val="001349DD"/>
    <w:rsid w:val="00134A39"/>
    <w:rsid w:val="00134CCF"/>
    <w:rsid w:val="00135368"/>
    <w:rsid w:val="00135D74"/>
    <w:rsid w:val="001367EF"/>
    <w:rsid w:val="001368DF"/>
    <w:rsid w:val="00137563"/>
    <w:rsid w:val="00137593"/>
    <w:rsid w:val="001400AA"/>
    <w:rsid w:val="0014130A"/>
    <w:rsid w:val="00141CB6"/>
    <w:rsid w:val="00141DBC"/>
    <w:rsid w:val="00142EF1"/>
    <w:rsid w:val="00142F85"/>
    <w:rsid w:val="001435B7"/>
    <w:rsid w:val="001437E4"/>
    <w:rsid w:val="00143B92"/>
    <w:rsid w:val="00143CD2"/>
    <w:rsid w:val="0014413B"/>
    <w:rsid w:val="001445D1"/>
    <w:rsid w:val="001447D5"/>
    <w:rsid w:val="00145C2E"/>
    <w:rsid w:val="001469F6"/>
    <w:rsid w:val="0014721C"/>
    <w:rsid w:val="00147980"/>
    <w:rsid w:val="00147B11"/>
    <w:rsid w:val="00150F27"/>
    <w:rsid w:val="001511F7"/>
    <w:rsid w:val="001512DC"/>
    <w:rsid w:val="00151A2A"/>
    <w:rsid w:val="001538DF"/>
    <w:rsid w:val="00154517"/>
    <w:rsid w:val="00154662"/>
    <w:rsid w:val="0015546D"/>
    <w:rsid w:val="00155710"/>
    <w:rsid w:val="00156634"/>
    <w:rsid w:val="00162E39"/>
    <w:rsid w:val="00163685"/>
    <w:rsid w:val="00163E99"/>
    <w:rsid w:val="0016409C"/>
    <w:rsid w:val="001643D1"/>
    <w:rsid w:val="001646AF"/>
    <w:rsid w:val="00167AA1"/>
    <w:rsid w:val="00167B6A"/>
    <w:rsid w:val="00167ED1"/>
    <w:rsid w:val="0017023C"/>
    <w:rsid w:val="00170A63"/>
    <w:rsid w:val="00171A47"/>
    <w:rsid w:val="00171B13"/>
    <w:rsid w:val="00171BEF"/>
    <w:rsid w:val="00171E03"/>
    <w:rsid w:val="001738D2"/>
    <w:rsid w:val="00174A76"/>
    <w:rsid w:val="0017690E"/>
    <w:rsid w:val="00177E3B"/>
    <w:rsid w:val="00181FA5"/>
    <w:rsid w:val="00183A2C"/>
    <w:rsid w:val="00183EAA"/>
    <w:rsid w:val="00184319"/>
    <w:rsid w:val="00185054"/>
    <w:rsid w:val="00185864"/>
    <w:rsid w:val="00185C64"/>
    <w:rsid w:val="00185EC0"/>
    <w:rsid w:val="00186315"/>
    <w:rsid w:val="00186FF5"/>
    <w:rsid w:val="00187141"/>
    <w:rsid w:val="001873B5"/>
    <w:rsid w:val="00187404"/>
    <w:rsid w:val="00187727"/>
    <w:rsid w:val="00187BAF"/>
    <w:rsid w:val="00187E5D"/>
    <w:rsid w:val="001902C2"/>
    <w:rsid w:val="0019196A"/>
    <w:rsid w:val="00192002"/>
    <w:rsid w:val="00192AE1"/>
    <w:rsid w:val="001933B5"/>
    <w:rsid w:val="0019377C"/>
    <w:rsid w:val="00193966"/>
    <w:rsid w:val="0019410D"/>
    <w:rsid w:val="00194131"/>
    <w:rsid w:val="00194B4D"/>
    <w:rsid w:val="00196BB1"/>
    <w:rsid w:val="00196DC6"/>
    <w:rsid w:val="0019725A"/>
    <w:rsid w:val="00197B2D"/>
    <w:rsid w:val="001A01E5"/>
    <w:rsid w:val="001A0963"/>
    <w:rsid w:val="001A20F7"/>
    <w:rsid w:val="001A5167"/>
    <w:rsid w:val="001A68B7"/>
    <w:rsid w:val="001A6FB1"/>
    <w:rsid w:val="001A7B90"/>
    <w:rsid w:val="001B0C00"/>
    <w:rsid w:val="001B0C68"/>
    <w:rsid w:val="001B24C1"/>
    <w:rsid w:val="001B2738"/>
    <w:rsid w:val="001B277D"/>
    <w:rsid w:val="001B2AC9"/>
    <w:rsid w:val="001B2CE8"/>
    <w:rsid w:val="001B31A6"/>
    <w:rsid w:val="001B64BA"/>
    <w:rsid w:val="001B6C38"/>
    <w:rsid w:val="001B6EBA"/>
    <w:rsid w:val="001B7902"/>
    <w:rsid w:val="001B7CDF"/>
    <w:rsid w:val="001C06BA"/>
    <w:rsid w:val="001C170E"/>
    <w:rsid w:val="001C1934"/>
    <w:rsid w:val="001C193F"/>
    <w:rsid w:val="001C2B2A"/>
    <w:rsid w:val="001C35C1"/>
    <w:rsid w:val="001C6332"/>
    <w:rsid w:val="001C6F4B"/>
    <w:rsid w:val="001D2D6F"/>
    <w:rsid w:val="001D346F"/>
    <w:rsid w:val="001D34E6"/>
    <w:rsid w:val="001D3EB7"/>
    <w:rsid w:val="001D40F8"/>
    <w:rsid w:val="001D4ED9"/>
    <w:rsid w:val="001D74CB"/>
    <w:rsid w:val="001D7E3A"/>
    <w:rsid w:val="001E03B6"/>
    <w:rsid w:val="001E0E56"/>
    <w:rsid w:val="001E1B86"/>
    <w:rsid w:val="001E3E5B"/>
    <w:rsid w:val="001E427A"/>
    <w:rsid w:val="001E471E"/>
    <w:rsid w:val="001E4CCA"/>
    <w:rsid w:val="001E51DF"/>
    <w:rsid w:val="001E588D"/>
    <w:rsid w:val="001E5DD9"/>
    <w:rsid w:val="001E62DA"/>
    <w:rsid w:val="001E634C"/>
    <w:rsid w:val="001E6940"/>
    <w:rsid w:val="001E721F"/>
    <w:rsid w:val="001E7E76"/>
    <w:rsid w:val="001F02DF"/>
    <w:rsid w:val="001F07E7"/>
    <w:rsid w:val="001F0951"/>
    <w:rsid w:val="001F0D88"/>
    <w:rsid w:val="001F0DE6"/>
    <w:rsid w:val="001F35A2"/>
    <w:rsid w:val="001F50B1"/>
    <w:rsid w:val="001F5B20"/>
    <w:rsid w:val="001F66D2"/>
    <w:rsid w:val="001F6BDE"/>
    <w:rsid w:val="001F6CA4"/>
    <w:rsid w:val="001F77CF"/>
    <w:rsid w:val="00200436"/>
    <w:rsid w:val="00200C0C"/>
    <w:rsid w:val="00201A22"/>
    <w:rsid w:val="00201A27"/>
    <w:rsid w:val="00202992"/>
    <w:rsid w:val="0020322A"/>
    <w:rsid w:val="00204281"/>
    <w:rsid w:val="00205B26"/>
    <w:rsid w:val="00205DF0"/>
    <w:rsid w:val="00206069"/>
    <w:rsid w:val="002063ED"/>
    <w:rsid w:val="002064AC"/>
    <w:rsid w:val="00207107"/>
    <w:rsid w:val="00207261"/>
    <w:rsid w:val="0020788D"/>
    <w:rsid w:val="00207F11"/>
    <w:rsid w:val="002108CA"/>
    <w:rsid w:val="00210C03"/>
    <w:rsid w:val="00215530"/>
    <w:rsid w:val="0021596C"/>
    <w:rsid w:val="00215AAD"/>
    <w:rsid w:val="00215F5F"/>
    <w:rsid w:val="002176AB"/>
    <w:rsid w:val="00217EE4"/>
    <w:rsid w:val="0021FDB7"/>
    <w:rsid w:val="002203A1"/>
    <w:rsid w:val="00220FA2"/>
    <w:rsid w:val="0022209F"/>
    <w:rsid w:val="0022254A"/>
    <w:rsid w:val="00222809"/>
    <w:rsid w:val="00224782"/>
    <w:rsid w:val="0022776C"/>
    <w:rsid w:val="00227AA2"/>
    <w:rsid w:val="00227D00"/>
    <w:rsid w:val="00230390"/>
    <w:rsid w:val="00230768"/>
    <w:rsid w:val="00230BEA"/>
    <w:rsid w:val="00231065"/>
    <w:rsid w:val="00233359"/>
    <w:rsid w:val="00233737"/>
    <w:rsid w:val="0023408A"/>
    <w:rsid w:val="0023502C"/>
    <w:rsid w:val="00235BE3"/>
    <w:rsid w:val="002377B1"/>
    <w:rsid w:val="00237F75"/>
    <w:rsid w:val="00240901"/>
    <w:rsid w:val="0024128F"/>
    <w:rsid w:val="002426CC"/>
    <w:rsid w:val="00244088"/>
    <w:rsid w:val="002448F1"/>
    <w:rsid w:val="0024523B"/>
    <w:rsid w:val="0024622A"/>
    <w:rsid w:val="002474D8"/>
    <w:rsid w:val="00247C27"/>
    <w:rsid w:val="0024BFDD"/>
    <w:rsid w:val="002501F7"/>
    <w:rsid w:val="00250362"/>
    <w:rsid w:val="0025041F"/>
    <w:rsid w:val="00250CF1"/>
    <w:rsid w:val="00250E5F"/>
    <w:rsid w:val="00251B4D"/>
    <w:rsid w:val="00252C41"/>
    <w:rsid w:val="002534F4"/>
    <w:rsid w:val="00253950"/>
    <w:rsid w:val="00254001"/>
    <w:rsid w:val="002544B1"/>
    <w:rsid w:val="00255BD5"/>
    <w:rsid w:val="00255C1C"/>
    <w:rsid w:val="00256C72"/>
    <w:rsid w:val="00256CE3"/>
    <w:rsid w:val="00256D63"/>
    <w:rsid w:val="0025776F"/>
    <w:rsid w:val="00260C4E"/>
    <w:rsid w:val="0026272D"/>
    <w:rsid w:val="00263180"/>
    <w:rsid w:val="00264199"/>
    <w:rsid w:val="0026453F"/>
    <w:rsid w:val="00264CC0"/>
    <w:rsid w:val="0026686C"/>
    <w:rsid w:val="002707FB"/>
    <w:rsid w:val="00270EF0"/>
    <w:rsid w:val="00270F48"/>
    <w:rsid w:val="002716AA"/>
    <w:rsid w:val="00271766"/>
    <w:rsid w:val="002719F6"/>
    <w:rsid w:val="00271D3B"/>
    <w:rsid w:val="00274950"/>
    <w:rsid w:val="00274B9F"/>
    <w:rsid w:val="00274C93"/>
    <w:rsid w:val="002755BD"/>
    <w:rsid w:val="00275838"/>
    <w:rsid w:val="00276456"/>
    <w:rsid w:val="002775F8"/>
    <w:rsid w:val="00280E6D"/>
    <w:rsid w:val="00281375"/>
    <w:rsid w:val="00282334"/>
    <w:rsid w:val="00282B89"/>
    <w:rsid w:val="00283F67"/>
    <w:rsid w:val="00286360"/>
    <w:rsid w:val="002863FD"/>
    <w:rsid w:val="00286AD9"/>
    <w:rsid w:val="00287C1F"/>
    <w:rsid w:val="00287D64"/>
    <w:rsid w:val="00290C53"/>
    <w:rsid w:val="00290EC1"/>
    <w:rsid w:val="002912E5"/>
    <w:rsid w:val="00291317"/>
    <w:rsid w:val="0029149F"/>
    <w:rsid w:val="00291D6E"/>
    <w:rsid w:val="002941AC"/>
    <w:rsid w:val="00295071"/>
    <w:rsid w:val="00295202"/>
    <w:rsid w:val="0029528A"/>
    <w:rsid w:val="0029540D"/>
    <w:rsid w:val="002954C3"/>
    <w:rsid w:val="002955FB"/>
    <w:rsid w:val="0029681D"/>
    <w:rsid w:val="002970DA"/>
    <w:rsid w:val="0029799F"/>
    <w:rsid w:val="002A19AF"/>
    <w:rsid w:val="002A1A52"/>
    <w:rsid w:val="002A321B"/>
    <w:rsid w:val="002A3277"/>
    <w:rsid w:val="002A32CB"/>
    <w:rsid w:val="002A33DF"/>
    <w:rsid w:val="002A34BB"/>
    <w:rsid w:val="002A7E82"/>
    <w:rsid w:val="002B0165"/>
    <w:rsid w:val="002B18D8"/>
    <w:rsid w:val="002B1A31"/>
    <w:rsid w:val="002B1FCC"/>
    <w:rsid w:val="002B202C"/>
    <w:rsid w:val="002B4923"/>
    <w:rsid w:val="002B6718"/>
    <w:rsid w:val="002B690A"/>
    <w:rsid w:val="002B6E4E"/>
    <w:rsid w:val="002B6F33"/>
    <w:rsid w:val="002B75D2"/>
    <w:rsid w:val="002B7F60"/>
    <w:rsid w:val="002B7F9C"/>
    <w:rsid w:val="002C0007"/>
    <w:rsid w:val="002C10F5"/>
    <w:rsid w:val="002C12ED"/>
    <w:rsid w:val="002C154B"/>
    <w:rsid w:val="002C1955"/>
    <w:rsid w:val="002C2739"/>
    <w:rsid w:val="002C27FD"/>
    <w:rsid w:val="002C2A79"/>
    <w:rsid w:val="002C2FEF"/>
    <w:rsid w:val="002C4677"/>
    <w:rsid w:val="002C5D5C"/>
    <w:rsid w:val="002C65C9"/>
    <w:rsid w:val="002C6C38"/>
    <w:rsid w:val="002C6F16"/>
    <w:rsid w:val="002C77F7"/>
    <w:rsid w:val="002C7A73"/>
    <w:rsid w:val="002C7B84"/>
    <w:rsid w:val="002C7CF2"/>
    <w:rsid w:val="002D074A"/>
    <w:rsid w:val="002D153D"/>
    <w:rsid w:val="002D2963"/>
    <w:rsid w:val="002D36DB"/>
    <w:rsid w:val="002D3B8B"/>
    <w:rsid w:val="002D3E4F"/>
    <w:rsid w:val="002D4C51"/>
    <w:rsid w:val="002D5033"/>
    <w:rsid w:val="002D50A0"/>
    <w:rsid w:val="002D61DE"/>
    <w:rsid w:val="002D6231"/>
    <w:rsid w:val="002D6CCF"/>
    <w:rsid w:val="002E009D"/>
    <w:rsid w:val="002E1F3C"/>
    <w:rsid w:val="002E222E"/>
    <w:rsid w:val="002E28AA"/>
    <w:rsid w:val="002E3CB6"/>
    <w:rsid w:val="002E3E1C"/>
    <w:rsid w:val="002E4896"/>
    <w:rsid w:val="002E4D56"/>
    <w:rsid w:val="002F05A7"/>
    <w:rsid w:val="002F217D"/>
    <w:rsid w:val="002F27D7"/>
    <w:rsid w:val="002F2A23"/>
    <w:rsid w:val="002F2A2A"/>
    <w:rsid w:val="002F2F47"/>
    <w:rsid w:val="002F2F48"/>
    <w:rsid w:val="002F3422"/>
    <w:rsid w:val="002F3800"/>
    <w:rsid w:val="002F42E1"/>
    <w:rsid w:val="002F50F7"/>
    <w:rsid w:val="002F5289"/>
    <w:rsid w:val="002F61E6"/>
    <w:rsid w:val="003000F0"/>
    <w:rsid w:val="003003CD"/>
    <w:rsid w:val="00300408"/>
    <w:rsid w:val="00302DEC"/>
    <w:rsid w:val="0030352E"/>
    <w:rsid w:val="00303618"/>
    <w:rsid w:val="0030400E"/>
    <w:rsid w:val="0030448C"/>
    <w:rsid w:val="003047EC"/>
    <w:rsid w:val="00304819"/>
    <w:rsid w:val="00304F47"/>
    <w:rsid w:val="003059D5"/>
    <w:rsid w:val="0030783B"/>
    <w:rsid w:val="003079DB"/>
    <w:rsid w:val="00307F53"/>
    <w:rsid w:val="0031056B"/>
    <w:rsid w:val="003113D1"/>
    <w:rsid w:val="0031162F"/>
    <w:rsid w:val="00311B0F"/>
    <w:rsid w:val="00312EB3"/>
    <w:rsid w:val="003137C2"/>
    <w:rsid w:val="0031384A"/>
    <w:rsid w:val="00313C31"/>
    <w:rsid w:val="00314142"/>
    <w:rsid w:val="0031452D"/>
    <w:rsid w:val="00314964"/>
    <w:rsid w:val="003149AA"/>
    <w:rsid w:val="00314F6F"/>
    <w:rsid w:val="0031647E"/>
    <w:rsid w:val="00316B06"/>
    <w:rsid w:val="0031757E"/>
    <w:rsid w:val="0031792A"/>
    <w:rsid w:val="00320137"/>
    <w:rsid w:val="00320CE2"/>
    <w:rsid w:val="003211B8"/>
    <w:rsid w:val="00321448"/>
    <w:rsid w:val="003222AF"/>
    <w:rsid w:val="00323945"/>
    <w:rsid w:val="00325594"/>
    <w:rsid w:val="00326BDE"/>
    <w:rsid w:val="00326ECF"/>
    <w:rsid w:val="00326F40"/>
    <w:rsid w:val="0032746F"/>
    <w:rsid w:val="00327AA7"/>
    <w:rsid w:val="003328B9"/>
    <w:rsid w:val="0033459D"/>
    <w:rsid w:val="00334D38"/>
    <w:rsid w:val="00335569"/>
    <w:rsid w:val="003357EF"/>
    <w:rsid w:val="003363CA"/>
    <w:rsid w:val="00336998"/>
    <w:rsid w:val="003371E7"/>
    <w:rsid w:val="003405FE"/>
    <w:rsid w:val="00341E20"/>
    <w:rsid w:val="00343C12"/>
    <w:rsid w:val="003448CA"/>
    <w:rsid w:val="00347041"/>
    <w:rsid w:val="003474C4"/>
    <w:rsid w:val="0034751D"/>
    <w:rsid w:val="003506A2"/>
    <w:rsid w:val="003517B1"/>
    <w:rsid w:val="00352247"/>
    <w:rsid w:val="003530A7"/>
    <w:rsid w:val="00353214"/>
    <w:rsid w:val="00353270"/>
    <w:rsid w:val="00353570"/>
    <w:rsid w:val="003539EB"/>
    <w:rsid w:val="00353F5D"/>
    <w:rsid w:val="0035495C"/>
    <w:rsid w:val="00355F3D"/>
    <w:rsid w:val="00356D6E"/>
    <w:rsid w:val="00357461"/>
    <w:rsid w:val="00360B52"/>
    <w:rsid w:val="00361F3D"/>
    <w:rsid w:val="00362909"/>
    <w:rsid w:val="00362985"/>
    <w:rsid w:val="00362B19"/>
    <w:rsid w:val="00363179"/>
    <w:rsid w:val="00363AE2"/>
    <w:rsid w:val="00363CB8"/>
    <w:rsid w:val="0036466C"/>
    <w:rsid w:val="00364817"/>
    <w:rsid w:val="00366460"/>
    <w:rsid w:val="00366AB4"/>
    <w:rsid w:val="00366B8E"/>
    <w:rsid w:val="0036703C"/>
    <w:rsid w:val="00367683"/>
    <w:rsid w:val="00370693"/>
    <w:rsid w:val="003710EA"/>
    <w:rsid w:val="0037235D"/>
    <w:rsid w:val="003725D2"/>
    <w:rsid w:val="00372A54"/>
    <w:rsid w:val="00373C68"/>
    <w:rsid w:val="0037759D"/>
    <w:rsid w:val="00377641"/>
    <w:rsid w:val="00377686"/>
    <w:rsid w:val="00377CC8"/>
    <w:rsid w:val="00377CE8"/>
    <w:rsid w:val="00380816"/>
    <w:rsid w:val="0038114D"/>
    <w:rsid w:val="0038166D"/>
    <w:rsid w:val="003820D7"/>
    <w:rsid w:val="003821D4"/>
    <w:rsid w:val="003822F4"/>
    <w:rsid w:val="00384060"/>
    <w:rsid w:val="003844E4"/>
    <w:rsid w:val="003849C2"/>
    <w:rsid w:val="00384A97"/>
    <w:rsid w:val="00385C2A"/>
    <w:rsid w:val="00390119"/>
    <w:rsid w:val="00390698"/>
    <w:rsid w:val="0039100D"/>
    <w:rsid w:val="00391019"/>
    <w:rsid w:val="003927BE"/>
    <w:rsid w:val="00392A8B"/>
    <w:rsid w:val="003932AA"/>
    <w:rsid w:val="003933DA"/>
    <w:rsid w:val="00393AE4"/>
    <w:rsid w:val="003959F2"/>
    <w:rsid w:val="00396F35"/>
    <w:rsid w:val="00397344"/>
    <w:rsid w:val="00397F83"/>
    <w:rsid w:val="003A0889"/>
    <w:rsid w:val="003A0D94"/>
    <w:rsid w:val="003A2116"/>
    <w:rsid w:val="003A3549"/>
    <w:rsid w:val="003A4FD8"/>
    <w:rsid w:val="003A508B"/>
    <w:rsid w:val="003A5145"/>
    <w:rsid w:val="003A51D9"/>
    <w:rsid w:val="003A6B2A"/>
    <w:rsid w:val="003A6C94"/>
    <w:rsid w:val="003A7040"/>
    <w:rsid w:val="003B070A"/>
    <w:rsid w:val="003B077E"/>
    <w:rsid w:val="003B07E7"/>
    <w:rsid w:val="003B141B"/>
    <w:rsid w:val="003B2CB1"/>
    <w:rsid w:val="003B3004"/>
    <w:rsid w:val="003B4C65"/>
    <w:rsid w:val="003B5262"/>
    <w:rsid w:val="003B59BF"/>
    <w:rsid w:val="003B67FA"/>
    <w:rsid w:val="003B7AAC"/>
    <w:rsid w:val="003C0ADC"/>
    <w:rsid w:val="003C2059"/>
    <w:rsid w:val="003C2199"/>
    <w:rsid w:val="003C2D9C"/>
    <w:rsid w:val="003C4A13"/>
    <w:rsid w:val="003C5443"/>
    <w:rsid w:val="003C5565"/>
    <w:rsid w:val="003C59C5"/>
    <w:rsid w:val="003C5C59"/>
    <w:rsid w:val="003C6006"/>
    <w:rsid w:val="003C6184"/>
    <w:rsid w:val="003C68EC"/>
    <w:rsid w:val="003C75C4"/>
    <w:rsid w:val="003C7AD5"/>
    <w:rsid w:val="003D1A19"/>
    <w:rsid w:val="003D1DC0"/>
    <w:rsid w:val="003D3E4B"/>
    <w:rsid w:val="003D41A0"/>
    <w:rsid w:val="003D4C8C"/>
    <w:rsid w:val="003D609E"/>
    <w:rsid w:val="003D7318"/>
    <w:rsid w:val="003D7658"/>
    <w:rsid w:val="003E0089"/>
    <w:rsid w:val="003E1E0A"/>
    <w:rsid w:val="003E353D"/>
    <w:rsid w:val="003E37D4"/>
    <w:rsid w:val="003E387F"/>
    <w:rsid w:val="003E3F62"/>
    <w:rsid w:val="003E4496"/>
    <w:rsid w:val="003E588F"/>
    <w:rsid w:val="003E7EB1"/>
    <w:rsid w:val="003F1285"/>
    <w:rsid w:val="003F1C48"/>
    <w:rsid w:val="003F3CB8"/>
    <w:rsid w:val="003F4018"/>
    <w:rsid w:val="003F7C40"/>
    <w:rsid w:val="003F7FC3"/>
    <w:rsid w:val="0040037A"/>
    <w:rsid w:val="0040124E"/>
    <w:rsid w:val="0040179D"/>
    <w:rsid w:val="00402662"/>
    <w:rsid w:val="00402F92"/>
    <w:rsid w:val="004032FA"/>
    <w:rsid w:val="0040386F"/>
    <w:rsid w:val="00404114"/>
    <w:rsid w:val="00404356"/>
    <w:rsid w:val="004044CA"/>
    <w:rsid w:val="00405077"/>
    <w:rsid w:val="00405731"/>
    <w:rsid w:val="00405E60"/>
    <w:rsid w:val="00405FE3"/>
    <w:rsid w:val="00406F0D"/>
    <w:rsid w:val="004072C8"/>
    <w:rsid w:val="00407342"/>
    <w:rsid w:val="0041022E"/>
    <w:rsid w:val="00410E3F"/>
    <w:rsid w:val="00410FF3"/>
    <w:rsid w:val="004117AE"/>
    <w:rsid w:val="004118E6"/>
    <w:rsid w:val="0041191C"/>
    <w:rsid w:val="00411CE4"/>
    <w:rsid w:val="004123BE"/>
    <w:rsid w:val="00413D82"/>
    <w:rsid w:val="00414123"/>
    <w:rsid w:val="00414530"/>
    <w:rsid w:val="004147DC"/>
    <w:rsid w:val="00414AE6"/>
    <w:rsid w:val="00415570"/>
    <w:rsid w:val="00415957"/>
    <w:rsid w:val="00416717"/>
    <w:rsid w:val="004171EB"/>
    <w:rsid w:val="00417288"/>
    <w:rsid w:val="00417F11"/>
    <w:rsid w:val="00420230"/>
    <w:rsid w:val="0042069C"/>
    <w:rsid w:val="00420C24"/>
    <w:rsid w:val="00420D3E"/>
    <w:rsid w:val="00420E9A"/>
    <w:rsid w:val="0042100C"/>
    <w:rsid w:val="004210FF"/>
    <w:rsid w:val="00421B7E"/>
    <w:rsid w:val="004223C6"/>
    <w:rsid w:val="00423764"/>
    <w:rsid w:val="004244BC"/>
    <w:rsid w:val="00424A73"/>
    <w:rsid w:val="004258F6"/>
    <w:rsid w:val="00427324"/>
    <w:rsid w:val="00427334"/>
    <w:rsid w:val="0042E199"/>
    <w:rsid w:val="0043009A"/>
    <w:rsid w:val="004302CB"/>
    <w:rsid w:val="00430BDE"/>
    <w:rsid w:val="004310DB"/>
    <w:rsid w:val="00431200"/>
    <w:rsid w:val="004326C7"/>
    <w:rsid w:val="004345C6"/>
    <w:rsid w:val="004356CB"/>
    <w:rsid w:val="00435B76"/>
    <w:rsid w:val="00437687"/>
    <w:rsid w:val="00437D9B"/>
    <w:rsid w:val="004401CD"/>
    <w:rsid w:val="004405B9"/>
    <w:rsid w:val="004416B5"/>
    <w:rsid w:val="004419E9"/>
    <w:rsid w:val="0044221B"/>
    <w:rsid w:val="004427BA"/>
    <w:rsid w:val="0044285A"/>
    <w:rsid w:val="00442F27"/>
    <w:rsid w:val="00443414"/>
    <w:rsid w:val="0044479B"/>
    <w:rsid w:val="00445E9F"/>
    <w:rsid w:val="00445F7F"/>
    <w:rsid w:val="004460E3"/>
    <w:rsid w:val="00446AD3"/>
    <w:rsid w:val="00447128"/>
    <w:rsid w:val="00447264"/>
    <w:rsid w:val="004476F2"/>
    <w:rsid w:val="004513C2"/>
    <w:rsid w:val="004514D1"/>
    <w:rsid w:val="004521F6"/>
    <w:rsid w:val="00453802"/>
    <w:rsid w:val="00454E18"/>
    <w:rsid w:val="004553BB"/>
    <w:rsid w:val="00455420"/>
    <w:rsid w:val="004567CA"/>
    <w:rsid w:val="00456E72"/>
    <w:rsid w:val="00457573"/>
    <w:rsid w:val="00460DF3"/>
    <w:rsid w:val="00460EF9"/>
    <w:rsid w:val="0046267D"/>
    <w:rsid w:val="00462A2E"/>
    <w:rsid w:val="00463060"/>
    <w:rsid w:val="00463453"/>
    <w:rsid w:val="004634A5"/>
    <w:rsid w:val="004637CE"/>
    <w:rsid w:val="004642AC"/>
    <w:rsid w:val="004646D2"/>
    <w:rsid w:val="00466B7B"/>
    <w:rsid w:val="004706D3"/>
    <w:rsid w:val="004707A2"/>
    <w:rsid w:val="0047183B"/>
    <w:rsid w:val="00471A5A"/>
    <w:rsid w:val="00471F80"/>
    <w:rsid w:val="004728F4"/>
    <w:rsid w:val="004730F4"/>
    <w:rsid w:val="00473D74"/>
    <w:rsid w:val="00473E99"/>
    <w:rsid w:val="00477958"/>
    <w:rsid w:val="004802AE"/>
    <w:rsid w:val="004805ED"/>
    <w:rsid w:val="00480B50"/>
    <w:rsid w:val="00481ACB"/>
    <w:rsid w:val="00482AEF"/>
    <w:rsid w:val="00482BC7"/>
    <w:rsid w:val="0048300D"/>
    <w:rsid w:val="00483269"/>
    <w:rsid w:val="00484108"/>
    <w:rsid w:val="00485B10"/>
    <w:rsid w:val="00486516"/>
    <w:rsid w:val="00486905"/>
    <w:rsid w:val="00486AE1"/>
    <w:rsid w:val="00486D29"/>
    <w:rsid w:val="00490528"/>
    <w:rsid w:val="00490F96"/>
    <w:rsid w:val="004913AA"/>
    <w:rsid w:val="0049154C"/>
    <w:rsid w:val="00491E63"/>
    <w:rsid w:val="00492003"/>
    <w:rsid w:val="0049374D"/>
    <w:rsid w:val="00493FBF"/>
    <w:rsid w:val="00495AB7"/>
    <w:rsid w:val="00496B2E"/>
    <w:rsid w:val="00496B7C"/>
    <w:rsid w:val="00497070"/>
    <w:rsid w:val="00497D0E"/>
    <w:rsid w:val="004A0AE0"/>
    <w:rsid w:val="004A0F32"/>
    <w:rsid w:val="004A12B0"/>
    <w:rsid w:val="004A1348"/>
    <w:rsid w:val="004A1577"/>
    <w:rsid w:val="004A188C"/>
    <w:rsid w:val="004A1E7F"/>
    <w:rsid w:val="004A21D4"/>
    <w:rsid w:val="004A2DBE"/>
    <w:rsid w:val="004A32F7"/>
    <w:rsid w:val="004A3842"/>
    <w:rsid w:val="004A476E"/>
    <w:rsid w:val="004A524A"/>
    <w:rsid w:val="004A6494"/>
    <w:rsid w:val="004A748D"/>
    <w:rsid w:val="004B0090"/>
    <w:rsid w:val="004B035F"/>
    <w:rsid w:val="004B0397"/>
    <w:rsid w:val="004B2A14"/>
    <w:rsid w:val="004B2DBA"/>
    <w:rsid w:val="004B4D3C"/>
    <w:rsid w:val="004B6AA0"/>
    <w:rsid w:val="004B6D7A"/>
    <w:rsid w:val="004B756A"/>
    <w:rsid w:val="004B75C1"/>
    <w:rsid w:val="004C01E3"/>
    <w:rsid w:val="004C09C8"/>
    <w:rsid w:val="004C291C"/>
    <w:rsid w:val="004C4351"/>
    <w:rsid w:val="004C47A4"/>
    <w:rsid w:val="004C586E"/>
    <w:rsid w:val="004C5E4F"/>
    <w:rsid w:val="004C5F9F"/>
    <w:rsid w:val="004C6902"/>
    <w:rsid w:val="004C6D51"/>
    <w:rsid w:val="004C6DC8"/>
    <w:rsid w:val="004D038C"/>
    <w:rsid w:val="004D1E23"/>
    <w:rsid w:val="004D2A26"/>
    <w:rsid w:val="004D3185"/>
    <w:rsid w:val="004D335E"/>
    <w:rsid w:val="004D36BD"/>
    <w:rsid w:val="004D4AF0"/>
    <w:rsid w:val="004D5383"/>
    <w:rsid w:val="004D5B6B"/>
    <w:rsid w:val="004D5C33"/>
    <w:rsid w:val="004D6232"/>
    <w:rsid w:val="004D7CA5"/>
    <w:rsid w:val="004E10D1"/>
    <w:rsid w:val="004E1D49"/>
    <w:rsid w:val="004E1E8A"/>
    <w:rsid w:val="004E3702"/>
    <w:rsid w:val="004E464A"/>
    <w:rsid w:val="004E6A3F"/>
    <w:rsid w:val="004E747D"/>
    <w:rsid w:val="004E7CB7"/>
    <w:rsid w:val="004F01BB"/>
    <w:rsid w:val="004F04B9"/>
    <w:rsid w:val="004F11CB"/>
    <w:rsid w:val="004F1E35"/>
    <w:rsid w:val="004F1E8B"/>
    <w:rsid w:val="004F22FF"/>
    <w:rsid w:val="004F247F"/>
    <w:rsid w:val="004F340A"/>
    <w:rsid w:val="004F35E2"/>
    <w:rsid w:val="004F39DC"/>
    <w:rsid w:val="004F4EE2"/>
    <w:rsid w:val="004F5009"/>
    <w:rsid w:val="004F500E"/>
    <w:rsid w:val="004F6026"/>
    <w:rsid w:val="00501D6E"/>
    <w:rsid w:val="00502179"/>
    <w:rsid w:val="00503890"/>
    <w:rsid w:val="005048C2"/>
    <w:rsid w:val="00505B1C"/>
    <w:rsid w:val="00506855"/>
    <w:rsid w:val="00506B32"/>
    <w:rsid w:val="0050732F"/>
    <w:rsid w:val="005074FF"/>
    <w:rsid w:val="00507B95"/>
    <w:rsid w:val="0051032E"/>
    <w:rsid w:val="00510442"/>
    <w:rsid w:val="005104C4"/>
    <w:rsid w:val="00510D77"/>
    <w:rsid w:val="0051128D"/>
    <w:rsid w:val="005117FC"/>
    <w:rsid w:val="005118EA"/>
    <w:rsid w:val="005118F1"/>
    <w:rsid w:val="00511A2C"/>
    <w:rsid w:val="00511A4B"/>
    <w:rsid w:val="00511D7F"/>
    <w:rsid w:val="00512DD3"/>
    <w:rsid w:val="00512FC4"/>
    <w:rsid w:val="00513023"/>
    <w:rsid w:val="0051422E"/>
    <w:rsid w:val="005146C0"/>
    <w:rsid w:val="00514BC0"/>
    <w:rsid w:val="0051536D"/>
    <w:rsid w:val="00515FFC"/>
    <w:rsid w:val="005165E4"/>
    <w:rsid w:val="00516D45"/>
    <w:rsid w:val="005177BE"/>
    <w:rsid w:val="00517D54"/>
    <w:rsid w:val="00520E7A"/>
    <w:rsid w:val="005225AF"/>
    <w:rsid w:val="005225D2"/>
    <w:rsid w:val="00523521"/>
    <w:rsid w:val="00523BAD"/>
    <w:rsid w:val="00524F75"/>
    <w:rsid w:val="00524FEB"/>
    <w:rsid w:val="00525D57"/>
    <w:rsid w:val="0052637E"/>
    <w:rsid w:val="00526B0E"/>
    <w:rsid w:val="00527AF3"/>
    <w:rsid w:val="00527B4E"/>
    <w:rsid w:val="00527CE1"/>
    <w:rsid w:val="00530379"/>
    <w:rsid w:val="00530C20"/>
    <w:rsid w:val="005354D5"/>
    <w:rsid w:val="00535D51"/>
    <w:rsid w:val="00536634"/>
    <w:rsid w:val="005367D2"/>
    <w:rsid w:val="00537771"/>
    <w:rsid w:val="00537889"/>
    <w:rsid w:val="00540511"/>
    <w:rsid w:val="00541402"/>
    <w:rsid w:val="0054150B"/>
    <w:rsid w:val="005430F9"/>
    <w:rsid w:val="00543234"/>
    <w:rsid w:val="0054330F"/>
    <w:rsid w:val="005433EA"/>
    <w:rsid w:val="00543AD5"/>
    <w:rsid w:val="0054462E"/>
    <w:rsid w:val="00545674"/>
    <w:rsid w:val="005456E7"/>
    <w:rsid w:val="00545AD6"/>
    <w:rsid w:val="00545C57"/>
    <w:rsid w:val="005462EB"/>
    <w:rsid w:val="00547371"/>
    <w:rsid w:val="0054737C"/>
    <w:rsid w:val="00547891"/>
    <w:rsid w:val="00550053"/>
    <w:rsid w:val="00552267"/>
    <w:rsid w:val="0055379C"/>
    <w:rsid w:val="005541A1"/>
    <w:rsid w:val="00554548"/>
    <w:rsid w:val="00555579"/>
    <w:rsid w:val="00555E5D"/>
    <w:rsid w:val="00556C7F"/>
    <w:rsid w:val="0055732C"/>
    <w:rsid w:val="00560234"/>
    <w:rsid w:val="005603EE"/>
    <w:rsid w:val="005605CC"/>
    <w:rsid w:val="00560AD2"/>
    <w:rsid w:val="0056105E"/>
    <w:rsid w:val="005631C3"/>
    <w:rsid w:val="00565CBC"/>
    <w:rsid w:val="0056670B"/>
    <w:rsid w:val="00566B8D"/>
    <w:rsid w:val="00570C3E"/>
    <w:rsid w:val="00571E2F"/>
    <w:rsid w:val="00572761"/>
    <w:rsid w:val="00573188"/>
    <w:rsid w:val="00574EB9"/>
    <w:rsid w:val="00574FFD"/>
    <w:rsid w:val="005766D7"/>
    <w:rsid w:val="00576E21"/>
    <w:rsid w:val="00577295"/>
    <w:rsid w:val="00580110"/>
    <w:rsid w:val="00580731"/>
    <w:rsid w:val="0058105D"/>
    <w:rsid w:val="00582809"/>
    <w:rsid w:val="0058372E"/>
    <w:rsid w:val="00584E6F"/>
    <w:rsid w:val="00585057"/>
    <w:rsid w:val="0058634C"/>
    <w:rsid w:val="00586985"/>
    <w:rsid w:val="00586E3D"/>
    <w:rsid w:val="00587163"/>
    <w:rsid w:val="00587564"/>
    <w:rsid w:val="005906AB"/>
    <w:rsid w:val="005907E1"/>
    <w:rsid w:val="00591807"/>
    <w:rsid w:val="005920CE"/>
    <w:rsid w:val="005925A3"/>
    <w:rsid w:val="005928A5"/>
    <w:rsid w:val="005938BF"/>
    <w:rsid w:val="0059453D"/>
    <w:rsid w:val="00595BAD"/>
    <w:rsid w:val="005961FB"/>
    <w:rsid w:val="0059749D"/>
    <w:rsid w:val="005A02F6"/>
    <w:rsid w:val="005A09DF"/>
    <w:rsid w:val="005A1127"/>
    <w:rsid w:val="005A1336"/>
    <w:rsid w:val="005A1919"/>
    <w:rsid w:val="005A2325"/>
    <w:rsid w:val="005A40DB"/>
    <w:rsid w:val="005A4396"/>
    <w:rsid w:val="005A568C"/>
    <w:rsid w:val="005A6F89"/>
    <w:rsid w:val="005A7277"/>
    <w:rsid w:val="005A75B6"/>
    <w:rsid w:val="005B094A"/>
    <w:rsid w:val="005B0A9C"/>
    <w:rsid w:val="005B0EDD"/>
    <w:rsid w:val="005B121C"/>
    <w:rsid w:val="005B15FC"/>
    <w:rsid w:val="005B23FD"/>
    <w:rsid w:val="005B35F3"/>
    <w:rsid w:val="005B48FC"/>
    <w:rsid w:val="005B5802"/>
    <w:rsid w:val="005B66CA"/>
    <w:rsid w:val="005B6AB1"/>
    <w:rsid w:val="005B6AC0"/>
    <w:rsid w:val="005C0893"/>
    <w:rsid w:val="005C177F"/>
    <w:rsid w:val="005C2469"/>
    <w:rsid w:val="005C435F"/>
    <w:rsid w:val="005C4438"/>
    <w:rsid w:val="005C4C85"/>
    <w:rsid w:val="005D0804"/>
    <w:rsid w:val="005D14AA"/>
    <w:rsid w:val="005D15B9"/>
    <w:rsid w:val="005D2142"/>
    <w:rsid w:val="005D2228"/>
    <w:rsid w:val="005D22F8"/>
    <w:rsid w:val="005D3017"/>
    <w:rsid w:val="005D3D47"/>
    <w:rsid w:val="005D3EBC"/>
    <w:rsid w:val="005D4D6D"/>
    <w:rsid w:val="005D54BC"/>
    <w:rsid w:val="005D5ED7"/>
    <w:rsid w:val="005D6062"/>
    <w:rsid w:val="005D6130"/>
    <w:rsid w:val="005D63F8"/>
    <w:rsid w:val="005D6B26"/>
    <w:rsid w:val="005DF690"/>
    <w:rsid w:val="005E0AD8"/>
    <w:rsid w:val="005E0BD6"/>
    <w:rsid w:val="005E28C9"/>
    <w:rsid w:val="005E40F6"/>
    <w:rsid w:val="005E42F4"/>
    <w:rsid w:val="005E5757"/>
    <w:rsid w:val="005E5F57"/>
    <w:rsid w:val="005E6067"/>
    <w:rsid w:val="005E6F79"/>
    <w:rsid w:val="005F033E"/>
    <w:rsid w:val="005F0B3D"/>
    <w:rsid w:val="005F1844"/>
    <w:rsid w:val="005F1AF6"/>
    <w:rsid w:val="005F2152"/>
    <w:rsid w:val="005F22BB"/>
    <w:rsid w:val="005F3117"/>
    <w:rsid w:val="005F324A"/>
    <w:rsid w:val="005F3FC3"/>
    <w:rsid w:val="005F59CF"/>
    <w:rsid w:val="005F5C54"/>
    <w:rsid w:val="005F661A"/>
    <w:rsid w:val="00600088"/>
    <w:rsid w:val="00600338"/>
    <w:rsid w:val="006029FA"/>
    <w:rsid w:val="006037BE"/>
    <w:rsid w:val="00604575"/>
    <w:rsid w:val="0060482E"/>
    <w:rsid w:val="00605FDE"/>
    <w:rsid w:val="00606328"/>
    <w:rsid w:val="00606680"/>
    <w:rsid w:val="00610061"/>
    <w:rsid w:val="00610A7B"/>
    <w:rsid w:val="00610AFA"/>
    <w:rsid w:val="00610D10"/>
    <w:rsid w:val="00610FCC"/>
    <w:rsid w:val="006124BE"/>
    <w:rsid w:val="00613409"/>
    <w:rsid w:val="006138B8"/>
    <w:rsid w:val="00614579"/>
    <w:rsid w:val="00614F39"/>
    <w:rsid w:val="006150D9"/>
    <w:rsid w:val="00616AD6"/>
    <w:rsid w:val="00616D43"/>
    <w:rsid w:val="00622C55"/>
    <w:rsid w:val="006239DE"/>
    <w:rsid w:val="00623BCB"/>
    <w:rsid w:val="0062537B"/>
    <w:rsid w:val="00626A7D"/>
    <w:rsid w:val="00626B71"/>
    <w:rsid w:val="00626F73"/>
    <w:rsid w:val="00627395"/>
    <w:rsid w:val="00630CBB"/>
    <w:rsid w:val="00632507"/>
    <w:rsid w:val="006338F7"/>
    <w:rsid w:val="00633B64"/>
    <w:rsid w:val="00634E38"/>
    <w:rsid w:val="00635229"/>
    <w:rsid w:val="006405EE"/>
    <w:rsid w:val="006406C6"/>
    <w:rsid w:val="00640AB3"/>
    <w:rsid w:val="00641253"/>
    <w:rsid w:val="00645F6C"/>
    <w:rsid w:val="006463B6"/>
    <w:rsid w:val="00646616"/>
    <w:rsid w:val="0065061B"/>
    <w:rsid w:val="00652BE5"/>
    <w:rsid w:val="00652EA0"/>
    <w:rsid w:val="006532CD"/>
    <w:rsid w:val="006535CE"/>
    <w:rsid w:val="006540BB"/>
    <w:rsid w:val="00654579"/>
    <w:rsid w:val="00655EDE"/>
    <w:rsid w:val="0065605B"/>
    <w:rsid w:val="00656C56"/>
    <w:rsid w:val="00656E26"/>
    <w:rsid w:val="00657837"/>
    <w:rsid w:val="00657A0E"/>
    <w:rsid w:val="006606B4"/>
    <w:rsid w:val="0066084D"/>
    <w:rsid w:val="00660EF1"/>
    <w:rsid w:val="00662079"/>
    <w:rsid w:val="0066304A"/>
    <w:rsid w:val="00664736"/>
    <w:rsid w:val="00664EF7"/>
    <w:rsid w:val="0066514E"/>
    <w:rsid w:val="00665CAF"/>
    <w:rsid w:val="0066639D"/>
    <w:rsid w:val="00667613"/>
    <w:rsid w:val="00667BCE"/>
    <w:rsid w:val="0067130B"/>
    <w:rsid w:val="00671B8E"/>
    <w:rsid w:val="0067255F"/>
    <w:rsid w:val="00672603"/>
    <w:rsid w:val="00672716"/>
    <w:rsid w:val="0067299B"/>
    <w:rsid w:val="006733DF"/>
    <w:rsid w:val="00673FD4"/>
    <w:rsid w:val="006746CA"/>
    <w:rsid w:val="00674A4C"/>
    <w:rsid w:val="00674DCB"/>
    <w:rsid w:val="00674F8D"/>
    <w:rsid w:val="00675C43"/>
    <w:rsid w:val="0067623E"/>
    <w:rsid w:val="00676EC8"/>
    <w:rsid w:val="006808CC"/>
    <w:rsid w:val="00681545"/>
    <w:rsid w:val="00681E11"/>
    <w:rsid w:val="00682234"/>
    <w:rsid w:val="00682342"/>
    <w:rsid w:val="006831ED"/>
    <w:rsid w:val="006838E5"/>
    <w:rsid w:val="006840F4"/>
    <w:rsid w:val="00684197"/>
    <w:rsid w:val="0068433A"/>
    <w:rsid w:val="00684593"/>
    <w:rsid w:val="006868E4"/>
    <w:rsid w:val="006869BC"/>
    <w:rsid w:val="00690F3B"/>
    <w:rsid w:val="00691473"/>
    <w:rsid w:val="00691741"/>
    <w:rsid w:val="006956EB"/>
    <w:rsid w:val="00696D46"/>
    <w:rsid w:val="006974FF"/>
    <w:rsid w:val="00697E8F"/>
    <w:rsid w:val="006A0370"/>
    <w:rsid w:val="006A0CEF"/>
    <w:rsid w:val="006A2A5D"/>
    <w:rsid w:val="006A3729"/>
    <w:rsid w:val="006A388D"/>
    <w:rsid w:val="006A3C5E"/>
    <w:rsid w:val="006A4B9B"/>
    <w:rsid w:val="006A4FED"/>
    <w:rsid w:val="006A5083"/>
    <w:rsid w:val="006A569B"/>
    <w:rsid w:val="006A6831"/>
    <w:rsid w:val="006A6D73"/>
    <w:rsid w:val="006B0403"/>
    <w:rsid w:val="006B05D1"/>
    <w:rsid w:val="006B08EF"/>
    <w:rsid w:val="006B2DD7"/>
    <w:rsid w:val="006B35AE"/>
    <w:rsid w:val="006B3A64"/>
    <w:rsid w:val="006B4834"/>
    <w:rsid w:val="006B50F3"/>
    <w:rsid w:val="006B5952"/>
    <w:rsid w:val="006B5ECF"/>
    <w:rsid w:val="006B69FF"/>
    <w:rsid w:val="006B6AD2"/>
    <w:rsid w:val="006B6D90"/>
    <w:rsid w:val="006B6F04"/>
    <w:rsid w:val="006B733D"/>
    <w:rsid w:val="006B7ADC"/>
    <w:rsid w:val="006C4C77"/>
    <w:rsid w:val="006C54C3"/>
    <w:rsid w:val="006C5588"/>
    <w:rsid w:val="006C6020"/>
    <w:rsid w:val="006C6C1A"/>
    <w:rsid w:val="006C6F9B"/>
    <w:rsid w:val="006D07B1"/>
    <w:rsid w:val="006D09D4"/>
    <w:rsid w:val="006D27C3"/>
    <w:rsid w:val="006D4137"/>
    <w:rsid w:val="006D489A"/>
    <w:rsid w:val="006D5540"/>
    <w:rsid w:val="006D74E8"/>
    <w:rsid w:val="006D7841"/>
    <w:rsid w:val="006D7A8F"/>
    <w:rsid w:val="006E28FF"/>
    <w:rsid w:val="006E38F8"/>
    <w:rsid w:val="006E4643"/>
    <w:rsid w:val="006E523D"/>
    <w:rsid w:val="006E57A8"/>
    <w:rsid w:val="006E5A16"/>
    <w:rsid w:val="006E600E"/>
    <w:rsid w:val="006E67DF"/>
    <w:rsid w:val="006E6E76"/>
    <w:rsid w:val="006F181B"/>
    <w:rsid w:val="006F1FF8"/>
    <w:rsid w:val="006F231C"/>
    <w:rsid w:val="006F2474"/>
    <w:rsid w:val="006F259F"/>
    <w:rsid w:val="006F25C3"/>
    <w:rsid w:val="006F2DC6"/>
    <w:rsid w:val="006F3107"/>
    <w:rsid w:val="006F31E6"/>
    <w:rsid w:val="006F3224"/>
    <w:rsid w:val="006F360B"/>
    <w:rsid w:val="006F3B1A"/>
    <w:rsid w:val="006F4352"/>
    <w:rsid w:val="006F485F"/>
    <w:rsid w:val="006F59F4"/>
    <w:rsid w:val="006F5C09"/>
    <w:rsid w:val="006F671B"/>
    <w:rsid w:val="006F76EC"/>
    <w:rsid w:val="006F7DCA"/>
    <w:rsid w:val="006F7EF3"/>
    <w:rsid w:val="00700093"/>
    <w:rsid w:val="00701404"/>
    <w:rsid w:val="00701D80"/>
    <w:rsid w:val="007025D5"/>
    <w:rsid w:val="00702C8F"/>
    <w:rsid w:val="00703013"/>
    <w:rsid w:val="0070338A"/>
    <w:rsid w:val="00703F86"/>
    <w:rsid w:val="0070438F"/>
    <w:rsid w:val="00705139"/>
    <w:rsid w:val="00705525"/>
    <w:rsid w:val="0070590B"/>
    <w:rsid w:val="00705C74"/>
    <w:rsid w:val="0070658F"/>
    <w:rsid w:val="007079A1"/>
    <w:rsid w:val="007109AF"/>
    <w:rsid w:val="007119DE"/>
    <w:rsid w:val="00712013"/>
    <w:rsid w:val="00713947"/>
    <w:rsid w:val="007150A3"/>
    <w:rsid w:val="00715899"/>
    <w:rsid w:val="007158B1"/>
    <w:rsid w:val="00715B2A"/>
    <w:rsid w:val="00715DF1"/>
    <w:rsid w:val="00715FAC"/>
    <w:rsid w:val="00717166"/>
    <w:rsid w:val="0072064E"/>
    <w:rsid w:val="0072291A"/>
    <w:rsid w:val="007229A0"/>
    <w:rsid w:val="00722AF1"/>
    <w:rsid w:val="00724342"/>
    <w:rsid w:val="0072576D"/>
    <w:rsid w:val="00726AA6"/>
    <w:rsid w:val="00726BB9"/>
    <w:rsid w:val="00726DD7"/>
    <w:rsid w:val="00730460"/>
    <w:rsid w:val="0073047D"/>
    <w:rsid w:val="00730CEF"/>
    <w:rsid w:val="00730E61"/>
    <w:rsid w:val="007317A8"/>
    <w:rsid w:val="0073256F"/>
    <w:rsid w:val="0073288A"/>
    <w:rsid w:val="00733012"/>
    <w:rsid w:val="00733553"/>
    <w:rsid w:val="0073370E"/>
    <w:rsid w:val="007363A1"/>
    <w:rsid w:val="007368AC"/>
    <w:rsid w:val="00737293"/>
    <w:rsid w:val="0073767F"/>
    <w:rsid w:val="00737F5C"/>
    <w:rsid w:val="0073ACC1"/>
    <w:rsid w:val="0074035C"/>
    <w:rsid w:val="00740C25"/>
    <w:rsid w:val="007415C0"/>
    <w:rsid w:val="00742BCD"/>
    <w:rsid w:val="00742F66"/>
    <w:rsid w:val="00744F45"/>
    <w:rsid w:val="00745922"/>
    <w:rsid w:val="00745BD8"/>
    <w:rsid w:val="00746040"/>
    <w:rsid w:val="0074672C"/>
    <w:rsid w:val="00747FB6"/>
    <w:rsid w:val="007508E8"/>
    <w:rsid w:val="00750AB9"/>
    <w:rsid w:val="00750DE6"/>
    <w:rsid w:val="00751211"/>
    <w:rsid w:val="00751E3A"/>
    <w:rsid w:val="00752A2F"/>
    <w:rsid w:val="00753B76"/>
    <w:rsid w:val="007540FC"/>
    <w:rsid w:val="00754684"/>
    <w:rsid w:val="007549E7"/>
    <w:rsid w:val="00754D10"/>
    <w:rsid w:val="00755695"/>
    <w:rsid w:val="00756044"/>
    <w:rsid w:val="007561C4"/>
    <w:rsid w:val="007568C5"/>
    <w:rsid w:val="00756C7C"/>
    <w:rsid w:val="0076022B"/>
    <w:rsid w:val="007605A3"/>
    <w:rsid w:val="00762379"/>
    <w:rsid w:val="00762E03"/>
    <w:rsid w:val="00762E7B"/>
    <w:rsid w:val="0076366A"/>
    <w:rsid w:val="007637B1"/>
    <w:rsid w:val="00763B50"/>
    <w:rsid w:val="007645C1"/>
    <w:rsid w:val="007646DA"/>
    <w:rsid w:val="007646F2"/>
    <w:rsid w:val="00765457"/>
    <w:rsid w:val="00765566"/>
    <w:rsid w:val="00765B1F"/>
    <w:rsid w:val="007661B3"/>
    <w:rsid w:val="00766213"/>
    <w:rsid w:val="007663F0"/>
    <w:rsid w:val="00766701"/>
    <w:rsid w:val="00767777"/>
    <w:rsid w:val="007677F9"/>
    <w:rsid w:val="00770BED"/>
    <w:rsid w:val="00772313"/>
    <w:rsid w:val="0077322F"/>
    <w:rsid w:val="007749B6"/>
    <w:rsid w:val="00774EE7"/>
    <w:rsid w:val="007753EC"/>
    <w:rsid w:val="007774E5"/>
    <w:rsid w:val="00777CF6"/>
    <w:rsid w:val="00777E0C"/>
    <w:rsid w:val="00781C07"/>
    <w:rsid w:val="00782A43"/>
    <w:rsid w:val="00782A91"/>
    <w:rsid w:val="007855CA"/>
    <w:rsid w:val="00786557"/>
    <w:rsid w:val="007869A3"/>
    <w:rsid w:val="00794F89"/>
    <w:rsid w:val="00795120"/>
    <w:rsid w:val="00796A88"/>
    <w:rsid w:val="00797251"/>
    <w:rsid w:val="0079740E"/>
    <w:rsid w:val="007A015C"/>
    <w:rsid w:val="007A0812"/>
    <w:rsid w:val="007A0C23"/>
    <w:rsid w:val="007A10DC"/>
    <w:rsid w:val="007A1390"/>
    <w:rsid w:val="007A1D66"/>
    <w:rsid w:val="007A25E3"/>
    <w:rsid w:val="007A4673"/>
    <w:rsid w:val="007A5048"/>
    <w:rsid w:val="007A5157"/>
    <w:rsid w:val="007A6070"/>
    <w:rsid w:val="007B234B"/>
    <w:rsid w:val="007B3261"/>
    <w:rsid w:val="007B336F"/>
    <w:rsid w:val="007B4279"/>
    <w:rsid w:val="007B44F3"/>
    <w:rsid w:val="007B4827"/>
    <w:rsid w:val="007B5447"/>
    <w:rsid w:val="007B6065"/>
    <w:rsid w:val="007B6A47"/>
    <w:rsid w:val="007B6B6B"/>
    <w:rsid w:val="007B6C36"/>
    <w:rsid w:val="007B6F2E"/>
    <w:rsid w:val="007B746E"/>
    <w:rsid w:val="007B7919"/>
    <w:rsid w:val="007B7BF5"/>
    <w:rsid w:val="007C047C"/>
    <w:rsid w:val="007C2021"/>
    <w:rsid w:val="007C2260"/>
    <w:rsid w:val="007C2285"/>
    <w:rsid w:val="007C2704"/>
    <w:rsid w:val="007C27CF"/>
    <w:rsid w:val="007C2E83"/>
    <w:rsid w:val="007C38F2"/>
    <w:rsid w:val="007C3C50"/>
    <w:rsid w:val="007C5DF5"/>
    <w:rsid w:val="007C63BE"/>
    <w:rsid w:val="007C65F3"/>
    <w:rsid w:val="007C68A4"/>
    <w:rsid w:val="007C6A8B"/>
    <w:rsid w:val="007C6C01"/>
    <w:rsid w:val="007C6E41"/>
    <w:rsid w:val="007C6FEF"/>
    <w:rsid w:val="007C707E"/>
    <w:rsid w:val="007C7257"/>
    <w:rsid w:val="007C74E7"/>
    <w:rsid w:val="007D0783"/>
    <w:rsid w:val="007D3A82"/>
    <w:rsid w:val="007D4269"/>
    <w:rsid w:val="007D4508"/>
    <w:rsid w:val="007D4F2C"/>
    <w:rsid w:val="007D5FCF"/>
    <w:rsid w:val="007D6BB1"/>
    <w:rsid w:val="007D6D00"/>
    <w:rsid w:val="007D6E4D"/>
    <w:rsid w:val="007D7F22"/>
    <w:rsid w:val="007E05F6"/>
    <w:rsid w:val="007E07C9"/>
    <w:rsid w:val="007E12C9"/>
    <w:rsid w:val="007E1750"/>
    <w:rsid w:val="007E1AF3"/>
    <w:rsid w:val="007E1BC5"/>
    <w:rsid w:val="007E253D"/>
    <w:rsid w:val="007E3625"/>
    <w:rsid w:val="007E38C3"/>
    <w:rsid w:val="007E397A"/>
    <w:rsid w:val="007E436A"/>
    <w:rsid w:val="007E5785"/>
    <w:rsid w:val="007E5E16"/>
    <w:rsid w:val="007E5E5B"/>
    <w:rsid w:val="007E66A4"/>
    <w:rsid w:val="007E69BB"/>
    <w:rsid w:val="007E6BFA"/>
    <w:rsid w:val="007E74E0"/>
    <w:rsid w:val="007E75FC"/>
    <w:rsid w:val="007F0690"/>
    <w:rsid w:val="007F0968"/>
    <w:rsid w:val="007F1299"/>
    <w:rsid w:val="007F17C5"/>
    <w:rsid w:val="007F2813"/>
    <w:rsid w:val="007F2DFD"/>
    <w:rsid w:val="007F3425"/>
    <w:rsid w:val="007F3A55"/>
    <w:rsid w:val="007F3B2B"/>
    <w:rsid w:val="007F3DA0"/>
    <w:rsid w:val="007F3E9C"/>
    <w:rsid w:val="007F4172"/>
    <w:rsid w:val="007F4313"/>
    <w:rsid w:val="007F4A3E"/>
    <w:rsid w:val="007F4DFD"/>
    <w:rsid w:val="007F6F4F"/>
    <w:rsid w:val="00800653"/>
    <w:rsid w:val="008017B8"/>
    <w:rsid w:val="00801D4B"/>
    <w:rsid w:val="00802449"/>
    <w:rsid w:val="0080261A"/>
    <w:rsid w:val="00802F8A"/>
    <w:rsid w:val="00806700"/>
    <w:rsid w:val="008112E8"/>
    <w:rsid w:val="00811C28"/>
    <w:rsid w:val="00812015"/>
    <w:rsid w:val="00812288"/>
    <w:rsid w:val="00812ACE"/>
    <w:rsid w:val="00813487"/>
    <w:rsid w:val="00813B14"/>
    <w:rsid w:val="00813C3C"/>
    <w:rsid w:val="00814DE1"/>
    <w:rsid w:val="00814E80"/>
    <w:rsid w:val="008155A4"/>
    <w:rsid w:val="008159AE"/>
    <w:rsid w:val="00815E3A"/>
    <w:rsid w:val="00820C01"/>
    <w:rsid w:val="00820E54"/>
    <w:rsid w:val="00820E75"/>
    <w:rsid w:val="00821746"/>
    <w:rsid w:val="00822348"/>
    <w:rsid w:val="00822FBA"/>
    <w:rsid w:val="0082355D"/>
    <w:rsid w:val="008236FE"/>
    <w:rsid w:val="008244AD"/>
    <w:rsid w:val="0082467D"/>
    <w:rsid w:val="008254D2"/>
    <w:rsid w:val="00825C13"/>
    <w:rsid w:val="00826237"/>
    <w:rsid w:val="00826AFD"/>
    <w:rsid w:val="00827982"/>
    <w:rsid w:val="0083031A"/>
    <w:rsid w:val="0083159C"/>
    <w:rsid w:val="00831BC9"/>
    <w:rsid w:val="008325EC"/>
    <w:rsid w:val="00832CB6"/>
    <w:rsid w:val="00833BB2"/>
    <w:rsid w:val="0083404F"/>
    <w:rsid w:val="00834561"/>
    <w:rsid w:val="008349E8"/>
    <w:rsid w:val="00835183"/>
    <w:rsid w:val="00835617"/>
    <w:rsid w:val="0083738A"/>
    <w:rsid w:val="008414D4"/>
    <w:rsid w:val="008416C6"/>
    <w:rsid w:val="008417F6"/>
    <w:rsid w:val="00841FA4"/>
    <w:rsid w:val="00842D8A"/>
    <w:rsid w:val="00846576"/>
    <w:rsid w:val="00847AEB"/>
    <w:rsid w:val="0085057C"/>
    <w:rsid w:val="00851755"/>
    <w:rsid w:val="00852019"/>
    <w:rsid w:val="0085244B"/>
    <w:rsid w:val="008524B0"/>
    <w:rsid w:val="00852CAC"/>
    <w:rsid w:val="00853A5C"/>
    <w:rsid w:val="008556D6"/>
    <w:rsid w:val="0085587A"/>
    <w:rsid w:val="00855F6C"/>
    <w:rsid w:val="008566D4"/>
    <w:rsid w:val="00856880"/>
    <w:rsid w:val="00857ED6"/>
    <w:rsid w:val="00860491"/>
    <w:rsid w:val="008604E4"/>
    <w:rsid w:val="00860ED4"/>
    <w:rsid w:val="008620C3"/>
    <w:rsid w:val="00863EBC"/>
    <w:rsid w:val="00864955"/>
    <w:rsid w:val="00865195"/>
    <w:rsid w:val="0086553A"/>
    <w:rsid w:val="00865CA9"/>
    <w:rsid w:val="00866531"/>
    <w:rsid w:val="00866607"/>
    <w:rsid w:val="00866BB4"/>
    <w:rsid w:val="00866C80"/>
    <w:rsid w:val="00866E24"/>
    <w:rsid w:val="00867797"/>
    <w:rsid w:val="008711EB"/>
    <w:rsid w:val="00871BAD"/>
    <w:rsid w:val="00871E8F"/>
    <w:rsid w:val="00872C29"/>
    <w:rsid w:val="00873846"/>
    <w:rsid w:val="00874036"/>
    <w:rsid w:val="00874B95"/>
    <w:rsid w:val="0087505B"/>
    <w:rsid w:val="0087532A"/>
    <w:rsid w:val="00875998"/>
    <w:rsid w:val="0087642E"/>
    <w:rsid w:val="00877254"/>
    <w:rsid w:val="008774CE"/>
    <w:rsid w:val="00877E35"/>
    <w:rsid w:val="0088040C"/>
    <w:rsid w:val="00881202"/>
    <w:rsid w:val="008828A6"/>
    <w:rsid w:val="00882F7C"/>
    <w:rsid w:val="00883353"/>
    <w:rsid w:val="00883A0D"/>
    <w:rsid w:val="0088555C"/>
    <w:rsid w:val="008856B4"/>
    <w:rsid w:val="00885CF2"/>
    <w:rsid w:val="00886C8F"/>
    <w:rsid w:val="008900E0"/>
    <w:rsid w:val="00890926"/>
    <w:rsid w:val="00890C4F"/>
    <w:rsid w:val="00891DFB"/>
    <w:rsid w:val="008921AF"/>
    <w:rsid w:val="00892420"/>
    <w:rsid w:val="00892836"/>
    <w:rsid w:val="0089378F"/>
    <w:rsid w:val="00893A0A"/>
    <w:rsid w:val="008942C2"/>
    <w:rsid w:val="00895428"/>
    <w:rsid w:val="00895B22"/>
    <w:rsid w:val="0089784E"/>
    <w:rsid w:val="008A1E74"/>
    <w:rsid w:val="008A2D65"/>
    <w:rsid w:val="008A35D2"/>
    <w:rsid w:val="008A4757"/>
    <w:rsid w:val="008A4A10"/>
    <w:rsid w:val="008A581E"/>
    <w:rsid w:val="008A5F24"/>
    <w:rsid w:val="008A6539"/>
    <w:rsid w:val="008A6667"/>
    <w:rsid w:val="008A797C"/>
    <w:rsid w:val="008B06D8"/>
    <w:rsid w:val="008B139E"/>
    <w:rsid w:val="008B26FE"/>
    <w:rsid w:val="008B2D3C"/>
    <w:rsid w:val="008B40D2"/>
    <w:rsid w:val="008B40FB"/>
    <w:rsid w:val="008B45B8"/>
    <w:rsid w:val="008B589B"/>
    <w:rsid w:val="008B7636"/>
    <w:rsid w:val="008C0A6E"/>
    <w:rsid w:val="008C1391"/>
    <w:rsid w:val="008C1CE9"/>
    <w:rsid w:val="008C1CEB"/>
    <w:rsid w:val="008C2179"/>
    <w:rsid w:val="008C2808"/>
    <w:rsid w:val="008C3E8E"/>
    <w:rsid w:val="008C635D"/>
    <w:rsid w:val="008C6D1E"/>
    <w:rsid w:val="008C6F65"/>
    <w:rsid w:val="008C7590"/>
    <w:rsid w:val="008D045E"/>
    <w:rsid w:val="008D175A"/>
    <w:rsid w:val="008D27C5"/>
    <w:rsid w:val="008D2B3F"/>
    <w:rsid w:val="008D3383"/>
    <w:rsid w:val="008D53CA"/>
    <w:rsid w:val="008D54D3"/>
    <w:rsid w:val="008D63AD"/>
    <w:rsid w:val="008D736C"/>
    <w:rsid w:val="008D7A8A"/>
    <w:rsid w:val="008D7AE0"/>
    <w:rsid w:val="008D7F17"/>
    <w:rsid w:val="008E02DF"/>
    <w:rsid w:val="008E0B0A"/>
    <w:rsid w:val="008E1860"/>
    <w:rsid w:val="008E1C3A"/>
    <w:rsid w:val="008E1EF6"/>
    <w:rsid w:val="008E2093"/>
    <w:rsid w:val="008E32FC"/>
    <w:rsid w:val="008E336D"/>
    <w:rsid w:val="008E3982"/>
    <w:rsid w:val="008E3A34"/>
    <w:rsid w:val="008E3DDE"/>
    <w:rsid w:val="008E3F4B"/>
    <w:rsid w:val="008E45FC"/>
    <w:rsid w:val="008E4EA2"/>
    <w:rsid w:val="008E53A5"/>
    <w:rsid w:val="008E5859"/>
    <w:rsid w:val="008E66BC"/>
    <w:rsid w:val="008E6767"/>
    <w:rsid w:val="008E6BCF"/>
    <w:rsid w:val="008E6FEF"/>
    <w:rsid w:val="008E7CE7"/>
    <w:rsid w:val="008F003D"/>
    <w:rsid w:val="008F1008"/>
    <w:rsid w:val="008F17A8"/>
    <w:rsid w:val="008F2888"/>
    <w:rsid w:val="008F5241"/>
    <w:rsid w:val="008F6218"/>
    <w:rsid w:val="008F66A4"/>
    <w:rsid w:val="008F6C21"/>
    <w:rsid w:val="008F7414"/>
    <w:rsid w:val="0090015A"/>
    <w:rsid w:val="00900549"/>
    <w:rsid w:val="00900FA6"/>
    <w:rsid w:val="00901CBE"/>
    <w:rsid w:val="0090280C"/>
    <w:rsid w:val="00902C8E"/>
    <w:rsid w:val="00902E3B"/>
    <w:rsid w:val="00903E7C"/>
    <w:rsid w:val="00904110"/>
    <w:rsid w:val="009049A8"/>
    <w:rsid w:val="00904B73"/>
    <w:rsid w:val="00905497"/>
    <w:rsid w:val="0090557B"/>
    <w:rsid w:val="00905C17"/>
    <w:rsid w:val="009077A8"/>
    <w:rsid w:val="00907FBB"/>
    <w:rsid w:val="0091058B"/>
    <w:rsid w:val="0091197A"/>
    <w:rsid w:val="00911DE2"/>
    <w:rsid w:val="00912367"/>
    <w:rsid w:val="00913A3F"/>
    <w:rsid w:val="009141BE"/>
    <w:rsid w:val="0091424D"/>
    <w:rsid w:val="0091431B"/>
    <w:rsid w:val="00914842"/>
    <w:rsid w:val="00914DA2"/>
    <w:rsid w:val="00914EE9"/>
    <w:rsid w:val="009150CB"/>
    <w:rsid w:val="0091531B"/>
    <w:rsid w:val="009157BB"/>
    <w:rsid w:val="00916401"/>
    <w:rsid w:val="009165E3"/>
    <w:rsid w:val="00917393"/>
    <w:rsid w:val="00920E7C"/>
    <w:rsid w:val="009216B6"/>
    <w:rsid w:val="009217AB"/>
    <w:rsid w:val="00921F35"/>
    <w:rsid w:val="009237A8"/>
    <w:rsid w:val="009238E6"/>
    <w:rsid w:val="009240AA"/>
    <w:rsid w:val="0092592D"/>
    <w:rsid w:val="00925D5E"/>
    <w:rsid w:val="0092607E"/>
    <w:rsid w:val="0092654B"/>
    <w:rsid w:val="00926BFF"/>
    <w:rsid w:val="00927315"/>
    <w:rsid w:val="00930B78"/>
    <w:rsid w:val="00931675"/>
    <w:rsid w:val="00934B48"/>
    <w:rsid w:val="00934DC7"/>
    <w:rsid w:val="0093528C"/>
    <w:rsid w:val="00935A79"/>
    <w:rsid w:val="00937E5B"/>
    <w:rsid w:val="009405A6"/>
    <w:rsid w:val="009409F2"/>
    <w:rsid w:val="00941C02"/>
    <w:rsid w:val="00942DE2"/>
    <w:rsid w:val="0094348B"/>
    <w:rsid w:val="009440C4"/>
    <w:rsid w:val="00944503"/>
    <w:rsid w:val="00944FAD"/>
    <w:rsid w:val="009456A9"/>
    <w:rsid w:val="00945949"/>
    <w:rsid w:val="00945F54"/>
    <w:rsid w:val="00945FB9"/>
    <w:rsid w:val="00946F67"/>
    <w:rsid w:val="00947041"/>
    <w:rsid w:val="00950165"/>
    <w:rsid w:val="00950566"/>
    <w:rsid w:val="00950617"/>
    <w:rsid w:val="009517D8"/>
    <w:rsid w:val="00952763"/>
    <w:rsid w:val="00953FC7"/>
    <w:rsid w:val="00954A50"/>
    <w:rsid w:val="009567A7"/>
    <w:rsid w:val="0095731C"/>
    <w:rsid w:val="00957539"/>
    <w:rsid w:val="00957BF8"/>
    <w:rsid w:val="00960B96"/>
    <w:rsid w:val="00961899"/>
    <w:rsid w:val="00962AFB"/>
    <w:rsid w:val="009638C3"/>
    <w:rsid w:val="009648DB"/>
    <w:rsid w:val="00964DF7"/>
    <w:rsid w:val="009658D2"/>
    <w:rsid w:val="00966DDC"/>
    <w:rsid w:val="00974519"/>
    <w:rsid w:val="009763C5"/>
    <w:rsid w:val="009773F8"/>
    <w:rsid w:val="00977A87"/>
    <w:rsid w:val="0098053B"/>
    <w:rsid w:val="009807A8"/>
    <w:rsid w:val="00980841"/>
    <w:rsid w:val="00980F2C"/>
    <w:rsid w:val="00981078"/>
    <w:rsid w:val="00981B3A"/>
    <w:rsid w:val="009831F3"/>
    <w:rsid w:val="00984395"/>
    <w:rsid w:val="009849C5"/>
    <w:rsid w:val="00984A5D"/>
    <w:rsid w:val="00984ADF"/>
    <w:rsid w:val="00984FE2"/>
    <w:rsid w:val="00985737"/>
    <w:rsid w:val="009872DD"/>
    <w:rsid w:val="0099182B"/>
    <w:rsid w:val="00993DA1"/>
    <w:rsid w:val="00996A69"/>
    <w:rsid w:val="00996AEC"/>
    <w:rsid w:val="0099735E"/>
    <w:rsid w:val="009977A4"/>
    <w:rsid w:val="009A0A28"/>
    <w:rsid w:val="009A24EB"/>
    <w:rsid w:val="009A31E0"/>
    <w:rsid w:val="009A3CC4"/>
    <w:rsid w:val="009A3E26"/>
    <w:rsid w:val="009A42B4"/>
    <w:rsid w:val="009A51C5"/>
    <w:rsid w:val="009A577D"/>
    <w:rsid w:val="009A6203"/>
    <w:rsid w:val="009A6C3B"/>
    <w:rsid w:val="009A6C72"/>
    <w:rsid w:val="009A79DB"/>
    <w:rsid w:val="009A7F30"/>
    <w:rsid w:val="009B1E4C"/>
    <w:rsid w:val="009B295B"/>
    <w:rsid w:val="009B2FE3"/>
    <w:rsid w:val="009B3068"/>
    <w:rsid w:val="009B467D"/>
    <w:rsid w:val="009B5D70"/>
    <w:rsid w:val="009B6C0A"/>
    <w:rsid w:val="009B6D18"/>
    <w:rsid w:val="009B72C3"/>
    <w:rsid w:val="009B73AA"/>
    <w:rsid w:val="009C0D7C"/>
    <w:rsid w:val="009C23C2"/>
    <w:rsid w:val="009C3265"/>
    <w:rsid w:val="009C4BCE"/>
    <w:rsid w:val="009C4CC6"/>
    <w:rsid w:val="009C6EF7"/>
    <w:rsid w:val="009C754D"/>
    <w:rsid w:val="009C7BD8"/>
    <w:rsid w:val="009D0649"/>
    <w:rsid w:val="009D1A60"/>
    <w:rsid w:val="009D22E2"/>
    <w:rsid w:val="009D238D"/>
    <w:rsid w:val="009D3010"/>
    <w:rsid w:val="009D3598"/>
    <w:rsid w:val="009D3A46"/>
    <w:rsid w:val="009D3AA4"/>
    <w:rsid w:val="009D52FC"/>
    <w:rsid w:val="009D6711"/>
    <w:rsid w:val="009D67BA"/>
    <w:rsid w:val="009D6F0F"/>
    <w:rsid w:val="009D72A3"/>
    <w:rsid w:val="009E0160"/>
    <w:rsid w:val="009E0E87"/>
    <w:rsid w:val="009E0F57"/>
    <w:rsid w:val="009E1AFD"/>
    <w:rsid w:val="009E36B9"/>
    <w:rsid w:val="009E4227"/>
    <w:rsid w:val="009E48F8"/>
    <w:rsid w:val="009E4DA4"/>
    <w:rsid w:val="009E5A95"/>
    <w:rsid w:val="009E64C5"/>
    <w:rsid w:val="009F0318"/>
    <w:rsid w:val="009F062D"/>
    <w:rsid w:val="009F0DD3"/>
    <w:rsid w:val="009F0FA9"/>
    <w:rsid w:val="009F1BE6"/>
    <w:rsid w:val="009F2C1D"/>
    <w:rsid w:val="009F457A"/>
    <w:rsid w:val="009F46B3"/>
    <w:rsid w:val="009F4ABE"/>
    <w:rsid w:val="009F4C60"/>
    <w:rsid w:val="009F5E7F"/>
    <w:rsid w:val="009F6171"/>
    <w:rsid w:val="009F7232"/>
    <w:rsid w:val="009F740E"/>
    <w:rsid w:val="009F7BF3"/>
    <w:rsid w:val="009F7D57"/>
    <w:rsid w:val="00A00C96"/>
    <w:rsid w:val="00A01182"/>
    <w:rsid w:val="00A01DEE"/>
    <w:rsid w:val="00A027D3"/>
    <w:rsid w:val="00A0317F"/>
    <w:rsid w:val="00A040AC"/>
    <w:rsid w:val="00A041C9"/>
    <w:rsid w:val="00A043A2"/>
    <w:rsid w:val="00A05405"/>
    <w:rsid w:val="00A05E4C"/>
    <w:rsid w:val="00A068CA"/>
    <w:rsid w:val="00A070C2"/>
    <w:rsid w:val="00A07FCD"/>
    <w:rsid w:val="00A105F3"/>
    <w:rsid w:val="00A109A7"/>
    <w:rsid w:val="00A10AE2"/>
    <w:rsid w:val="00A10DBE"/>
    <w:rsid w:val="00A11A72"/>
    <w:rsid w:val="00A132BE"/>
    <w:rsid w:val="00A136FC"/>
    <w:rsid w:val="00A13867"/>
    <w:rsid w:val="00A13B8E"/>
    <w:rsid w:val="00A1529F"/>
    <w:rsid w:val="00A15C44"/>
    <w:rsid w:val="00A15F6C"/>
    <w:rsid w:val="00A161CE"/>
    <w:rsid w:val="00A16AF1"/>
    <w:rsid w:val="00A16E22"/>
    <w:rsid w:val="00A17726"/>
    <w:rsid w:val="00A208BF"/>
    <w:rsid w:val="00A2095F"/>
    <w:rsid w:val="00A20B85"/>
    <w:rsid w:val="00A20D1D"/>
    <w:rsid w:val="00A21244"/>
    <w:rsid w:val="00A21ADE"/>
    <w:rsid w:val="00A21E77"/>
    <w:rsid w:val="00A224C6"/>
    <w:rsid w:val="00A22F60"/>
    <w:rsid w:val="00A2315D"/>
    <w:rsid w:val="00A2394E"/>
    <w:rsid w:val="00A23E02"/>
    <w:rsid w:val="00A24C20"/>
    <w:rsid w:val="00A251C5"/>
    <w:rsid w:val="00A25E06"/>
    <w:rsid w:val="00A2699F"/>
    <w:rsid w:val="00A30340"/>
    <w:rsid w:val="00A30A19"/>
    <w:rsid w:val="00A30E04"/>
    <w:rsid w:val="00A31E45"/>
    <w:rsid w:val="00A31F5D"/>
    <w:rsid w:val="00A36537"/>
    <w:rsid w:val="00A368E7"/>
    <w:rsid w:val="00A36D72"/>
    <w:rsid w:val="00A36F43"/>
    <w:rsid w:val="00A373D4"/>
    <w:rsid w:val="00A401D4"/>
    <w:rsid w:val="00A40306"/>
    <w:rsid w:val="00A4037C"/>
    <w:rsid w:val="00A409EE"/>
    <w:rsid w:val="00A40DAE"/>
    <w:rsid w:val="00A40E26"/>
    <w:rsid w:val="00A411BB"/>
    <w:rsid w:val="00A42BEF"/>
    <w:rsid w:val="00A43715"/>
    <w:rsid w:val="00A43ED2"/>
    <w:rsid w:val="00A4442E"/>
    <w:rsid w:val="00A449B9"/>
    <w:rsid w:val="00A44BF1"/>
    <w:rsid w:val="00A45D26"/>
    <w:rsid w:val="00A470E5"/>
    <w:rsid w:val="00A478AE"/>
    <w:rsid w:val="00A515B7"/>
    <w:rsid w:val="00A51C75"/>
    <w:rsid w:val="00A51E3A"/>
    <w:rsid w:val="00A5268F"/>
    <w:rsid w:val="00A52757"/>
    <w:rsid w:val="00A52FCB"/>
    <w:rsid w:val="00A53164"/>
    <w:rsid w:val="00A53409"/>
    <w:rsid w:val="00A53E50"/>
    <w:rsid w:val="00A544A6"/>
    <w:rsid w:val="00A54827"/>
    <w:rsid w:val="00A56153"/>
    <w:rsid w:val="00A565D8"/>
    <w:rsid w:val="00A566E7"/>
    <w:rsid w:val="00A567C4"/>
    <w:rsid w:val="00A56926"/>
    <w:rsid w:val="00A56D29"/>
    <w:rsid w:val="00A57EAF"/>
    <w:rsid w:val="00A6017D"/>
    <w:rsid w:val="00A61078"/>
    <w:rsid w:val="00A6258C"/>
    <w:rsid w:val="00A62838"/>
    <w:rsid w:val="00A62D46"/>
    <w:rsid w:val="00A62E34"/>
    <w:rsid w:val="00A63003"/>
    <w:rsid w:val="00A655B1"/>
    <w:rsid w:val="00A664D6"/>
    <w:rsid w:val="00A66883"/>
    <w:rsid w:val="00A677B5"/>
    <w:rsid w:val="00A6799B"/>
    <w:rsid w:val="00A70EA2"/>
    <w:rsid w:val="00A71C03"/>
    <w:rsid w:val="00A71E04"/>
    <w:rsid w:val="00A7228C"/>
    <w:rsid w:val="00A7435C"/>
    <w:rsid w:val="00A75DAE"/>
    <w:rsid w:val="00A76450"/>
    <w:rsid w:val="00A76705"/>
    <w:rsid w:val="00A767EA"/>
    <w:rsid w:val="00A76F21"/>
    <w:rsid w:val="00A7771D"/>
    <w:rsid w:val="00A77B73"/>
    <w:rsid w:val="00A77E8C"/>
    <w:rsid w:val="00A8056E"/>
    <w:rsid w:val="00A81A97"/>
    <w:rsid w:val="00A822E4"/>
    <w:rsid w:val="00A83224"/>
    <w:rsid w:val="00A834C7"/>
    <w:rsid w:val="00A847D3"/>
    <w:rsid w:val="00A85788"/>
    <w:rsid w:val="00A85B99"/>
    <w:rsid w:val="00A86759"/>
    <w:rsid w:val="00A870B6"/>
    <w:rsid w:val="00A87CCD"/>
    <w:rsid w:val="00A90093"/>
    <w:rsid w:val="00A9014B"/>
    <w:rsid w:val="00A91F8B"/>
    <w:rsid w:val="00A92ED9"/>
    <w:rsid w:val="00A94798"/>
    <w:rsid w:val="00A94BFB"/>
    <w:rsid w:val="00A951CF"/>
    <w:rsid w:val="00A958B1"/>
    <w:rsid w:val="00A95C6B"/>
    <w:rsid w:val="00A962AE"/>
    <w:rsid w:val="00A965CE"/>
    <w:rsid w:val="00A96BFA"/>
    <w:rsid w:val="00A973A2"/>
    <w:rsid w:val="00AA0065"/>
    <w:rsid w:val="00AA0411"/>
    <w:rsid w:val="00AA0945"/>
    <w:rsid w:val="00AA0AB7"/>
    <w:rsid w:val="00AA1332"/>
    <w:rsid w:val="00AA159A"/>
    <w:rsid w:val="00AA21A4"/>
    <w:rsid w:val="00AA2DA9"/>
    <w:rsid w:val="00AA2DAC"/>
    <w:rsid w:val="00AA2E80"/>
    <w:rsid w:val="00AA39B7"/>
    <w:rsid w:val="00AA40F8"/>
    <w:rsid w:val="00AA45C4"/>
    <w:rsid w:val="00AA72B1"/>
    <w:rsid w:val="00AAEDAB"/>
    <w:rsid w:val="00AB1C4A"/>
    <w:rsid w:val="00AB2010"/>
    <w:rsid w:val="00AB206D"/>
    <w:rsid w:val="00AB2658"/>
    <w:rsid w:val="00AB31C9"/>
    <w:rsid w:val="00AB33B6"/>
    <w:rsid w:val="00AB4C30"/>
    <w:rsid w:val="00AB4CDC"/>
    <w:rsid w:val="00AB5334"/>
    <w:rsid w:val="00AB57C5"/>
    <w:rsid w:val="00AB5B34"/>
    <w:rsid w:val="00AB70F0"/>
    <w:rsid w:val="00AC05D3"/>
    <w:rsid w:val="00AC09D9"/>
    <w:rsid w:val="00AC23C9"/>
    <w:rsid w:val="00AC2801"/>
    <w:rsid w:val="00AC2B4D"/>
    <w:rsid w:val="00AC3E47"/>
    <w:rsid w:val="00AC42A5"/>
    <w:rsid w:val="00AC42F5"/>
    <w:rsid w:val="00AC4C72"/>
    <w:rsid w:val="00AC4E11"/>
    <w:rsid w:val="00AC4E5D"/>
    <w:rsid w:val="00AC581C"/>
    <w:rsid w:val="00AC5B43"/>
    <w:rsid w:val="00AC6AAB"/>
    <w:rsid w:val="00AC73FD"/>
    <w:rsid w:val="00AC77ED"/>
    <w:rsid w:val="00ACBABE"/>
    <w:rsid w:val="00AD0C5F"/>
    <w:rsid w:val="00AD1979"/>
    <w:rsid w:val="00AD22B7"/>
    <w:rsid w:val="00AD2BD8"/>
    <w:rsid w:val="00AD2DEF"/>
    <w:rsid w:val="00AD33AA"/>
    <w:rsid w:val="00AD3F02"/>
    <w:rsid w:val="00AD6046"/>
    <w:rsid w:val="00AD6A91"/>
    <w:rsid w:val="00AD7186"/>
    <w:rsid w:val="00AD73B1"/>
    <w:rsid w:val="00AE33FE"/>
    <w:rsid w:val="00AE4188"/>
    <w:rsid w:val="00AE49B5"/>
    <w:rsid w:val="00AE4B11"/>
    <w:rsid w:val="00AE625C"/>
    <w:rsid w:val="00AE77C9"/>
    <w:rsid w:val="00AF17DB"/>
    <w:rsid w:val="00AF250A"/>
    <w:rsid w:val="00AF2962"/>
    <w:rsid w:val="00AF296F"/>
    <w:rsid w:val="00AF36DB"/>
    <w:rsid w:val="00AF42D3"/>
    <w:rsid w:val="00AF5B87"/>
    <w:rsid w:val="00AF64B8"/>
    <w:rsid w:val="00AF79A3"/>
    <w:rsid w:val="00B0016D"/>
    <w:rsid w:val="00B01230"/>
    <w:rsid w:val="00B01FAB"/>
    <w:rsid w:val="00B05FF6"/>
    <w:rsid w:val="00B0610F"/>
    <w:rsid w:val="00B079BC"/>
    <w:rsid w:val="00B07EA0"/>
    <w:rsid w:val="00B10A60"/>
    <w:rsid w:val="00B10D60"/>
    <w:rsid w:val="00B1196E"/>
    <w:rsid w:val="00B11F84"/>
    <w:rsid w:val="00B122E9"/>
    <w:rsid w:val="00B12A96"/>
    <w:rsid w:val="00B12D1C"/>
    <w:rsid w:val="00B13522"/>
    <w:rsid w:val="00B13710"/>
    <w:rsid w:val="00B14165"/>
    <w:rsid w:val="00B14E12"/>
    <w:rsid w:val="00B17E53"/>
    <w:rsid w:val="00B211DB"/>
    <w:rsid w:val="00B21D15"/>
    <w:rsid w:val="00B22A39"/>
    <w:rsid w:val="00B233BD"/>
    <w:rsid w:val="00B238E1"/>
    <w:rsid w:val="00B23DE7"/>
    <w:rsid w:val="00B2499A"/>
    <w:rsid w:val="00B255AA"/>
    <w:rsid w:val="00B26102"/>
    <w:rsid w:val="00B26A73"/>
    <w:rsid w:val="00B26D8A"/>
    <w:rsid w:val="00B2703A"/>
    <w:rsid w:val="00B317E5"/>
    <w:rsid w:val="00B31E25"/>
    <w:rsid w:val="00B33560"/>
    <w:rsid w:val="00B33F8F"/>
    <w:rsid w:val="00B34566"/>
    <w:rsid w:val="00B34BCF"/>
    <w:rsid w:val="00B357C1"/>
    <w:rsid w:val="00B3695D"/>
    <w:rsid w:val="00B36985"/>
    <w:rsid w:val="00B3717F"/>
    <w:rsid w:val="00B375DB"/>
    <w:rsid w:val="00B40647"/>
    <w:rsid w:val="00B4065C"/>
    <w:rsid w:val="00B40C59"/>
    <w:rsid w:val="00B41F09"/>
    <w:rsid w:val="00B42780"/>
    <w:rsid w:val="00B4294C"/>
    <w:rsid w:val="00B42AC7"/>
    <w:rsid w:val="00B42CB9"/>
    <w:rsid w:val="00B42F03"/>
    <w:rsid w:val="00B43134"/>
    <w:rsid w:val="00B44D93"/>
    <w:rsid w:val="00B44E68"/>
    <w:rsid w:val="00B45CF5"/>
    <w:rsid w:val="00B45E6B"/>
    <w:rsid w:val="00B474CC"/>
    <w:rsid w:val="00B50B5D"/>
    <w:rsid w:val="00B5176F"/>
    <w:rsid w:val="00B5291B"/>
    <w:rsid w:val="00B52DC8"/>
    <w:rsid w:val="00B52E85"/>
    <w:rsid w:val="00B532FD"/>
    <w:rsid w:val="00B5348F"/>
    <w:rsid w:val="00B53B7A"/>
    <w:rsid w:val="00B54A8D"/>
    <w:rsid w:val="00B551AD"/>
    <w:rsid w:val="00B566BA"/>
    <w:rsid w:val="00B56B27"/>
    <w:rsid w:val="00B5704C"/>
    <w:rsid w:val="00B57629"/>
    <w:rsid w:val="00B60338"/>
    <w:rsid w:val="00B6335B"/>
    <w:rsid w:val="00B640DF"/>
    <w:rsid w:val="00B64514"/>
    <w:rsid w:val="00B64834"/>
    <w:rsid w:val="00B64C6E"/>
    <w:rsid w:val="00B64D22"/>
    <w:rsid w:val="00B6501F"/>
    <w:rsid w:val="00B650A6"/>
    <w:rsid w:val="00B65537"/>
    <w:rsid w:val="00B65615"/>
    <w:rsid w:val="00B65AE9"/>
    <w:rsid w:val="00B668EF"/>
    <w:rsid w:val="00B67B67"/>
    <w:rsid w:val="00B70CA5"/>
    <w:rsid w:val="00B7181E"/>
    <w:rsid w:val="00B71E43"/>
    <w:rsid w:val="00B71E77"/>
    <w:rsid w:val="00B73835"/>
    <w:rsid w:val="00B73F94"/>
    <w:rsid w:val="00B74C89"/>
    <w:rsid w:val="00B76231"/>
    <w:rsid w:val="00B768E8"/>
    <w:rsid w:val="00B7701B"/>
    <w:rsid w:val="00B77F1E"/>
    <w:rsid w:val="00B80798"/>
    <w:rsid w:val="00B81338"/>
    <w:rsid w:val="00B828EA"/>
    <w:rsid w:val="00B82E57"/>
    <w:rsid w:val="00B8375C"/>
    <w:rsid w:val="00B8401A"/>
    <w:rsid w:val="00B85A5A"/>
    <w:rsid w:val="00B869BE"/>
    <w:rsid w:val="00B87EC7"/>
    <w:rsid w:val="00B905CE"/>
    <w:rsid w:val="00B907EC"/>
    <w:rsid w:val="00B90DC5"/>
    <w:rsid w:val="00B91521"/>
    <w:rsid w:val="00B92081"/>
    <w:rsid w:val="00B944B4"/>
    <w:rsid w:val="00B96480"/>
    <w:rsid w:val="00B96E07"/>
    <w:rsid w:val="00B976CB"/>
    <w:rsid w:val="00B976E2"/>
    <w:rsid w:val="00B97860"/>
    <w:rsid w:val="00B97E03"/>
    <w:rsid w:val="00BA0B69"/>
    <w:rsid w:val="00BA1274"/>
    <w:rsid w:val="00BA1EF1"/>
    <w:rsid w:val="00BA1F08"/>
    <w:rsid w:val="00BA23BE"/>
    <w:rsid w:val="00BA2552"/>
    <w:rsid w:val="00BA2C48"/>
    <w:rsid w:val="00BA61AC"/>
    <w:rsid w:val="00BA67EA"/>
    <w:rsid w:val="00BA726E"/>
    <w:rsid w:val="00BB00D8"/>
    <w:rsid w:val="00BB0573"/>
    <w:rsid w:val="00BB079D"/>
    <w:rsid w:val="00BB1DB8"/>
    <w:rsid w:val="00BB2266"/>
    <w:rsid w:val="00BB2D4A"/>
    <w:rsid w:val="00BB2F3F"/>
    <w:rsid w:val="00BB38A4"/>
    <w:rsid w:val="00BB6627"/>
    <w:rsid w:val="00BB72C8"/>
    <w:rsid w:val="00BB72E1"/>
    <w:rsid w:val="00BC02B7"/>
    <w:rsid w:val="00BC0C2E"/>
    <w:rsid w:val="00BC1BFF"/>
    <w:rsid w:val="00BC2402"/>
    <w:rsid w:val="00BC281E"/>
    <w:rsid w:val="00BC29BE"/>
    <w:rsid w:val="00BC3523"/>
    <w:rsid w:val="00BC3F2B"/>
    <w:rsid w:val="00BC3F96"/>
    <w:rsid w:val="00BC431D"/>
    <w:rsid w:val="00BC4B9A"/>
    <w:rsid w:val="00BC4FA6"/>
    <w:rsid w:val="00BC548A"/>
    <w:rsid w:val="00BC6C5D"/>
    <w:rsid w:val="00BC7DB1"/>
    <w:rsid w:val="00BC7F38"/>
    <w:rsid w:val="00BD0251"/>
    <w:rsid w:val="00BD1140"/>
    <w:rsid w:val="00BD3118"/>
    <w:rsid w:val="00BD33BB"/>
    <w:rsid w:val="00BD3C89"/>
    <w:rsid w:val="00BD414F"/>
    <w:rsid w:val="00BD62A4"/>
    <w:rsid w:val="00BD7481"/>
    <w:rsid w:val="00BE0018"/>
    <w:rsid w:val="00BE130F"/>
    <w:rsid w:val="00BE1ED7"/>
    <w:rsid w:val="00BE252C"/>
    <w:rsid w:val="00BE35A3"/>
    <w:rsid w:val="00BE35CB"/>
    <w:rsid w:val="00BE3BD2"/>
    <w:rsid w:val="00BE3C02"/>
    <w:rsid w:val="00BE5543"/>
    <w:rsid w:val="00BE6DDB"/>
    <w:rsid w:val="00BE71F7"/>
    <w:rsid w:val="00BE72E9"/>
    <w:rsid w:val="00BF06B7"/>
    <w:rsid w:val="00BF0705"/>
    <w:rsid w:val="00BF07EC"/>
    <w:rsid w:val="00BF19F0"/>
    <w:rsid w:val="00BF1BB2"/>
    <w:rsid w:val="00BF2FF2"/>
    <w:rsid w:val="00BF30FF"/>
    <w:rsid w:val="00BF33D0"/>
    <w:rsid w:val="00BF4C8E"/>
    <w:rsid w:val="00BF69F1"/>
    <w:rsid w:val="00BF79B9"/>
    <w:rsid w:val="00C00F34"/>
    <w:rsid w:val="00C01782"/>
    <w:rsid w:val="00C01CD7"/>
    <w:rsid w:val="00C0217B"/>
    <w:rsid w:val="00C02EB7"/>
    <w:rsid w:val="00C04731"/>
    <w:rsid w:val="00C052C9"/>
    <w:rsid w:val="00C0618A"/>
    <w:rsid w:val="00C071C1"/>
    <w:rsid w:val="00C0789C"/>
    <w:rsid w:val="00C10905"/>
    <w:rsid w:val="00C10DD1"/>
    <w:rsid w:val="00C12E5F"/>
    <w:rsid w:val="00C12FAC"/>
    <w:rsid w:val="00C13A09"/>
    <w:rsid w:val="00C15AB3"/>
    <w:rsid w:val="00C15C79"/>
    <w:rsid w:val="00C17434"/>
    <w:rsid w:val="00C21925"/>
    <w:rsid w:val="00C22072"/>
    <w:rsid w:val="00C23C61"/>
    <w:rsid w:val="00C24030"/>
    <w:rsid w:val="00C25322"/>
    <w:rsid w:val="00C25CA8"/>
    <w:rsid w:val="00C276B8"/>
    <w:rsid w:val="00C304E5"/>
    <w:rsid w:val="00C30768"/>
    <w:rsid w:val="00C32131"/>
    <w:rsid w:val="00C326B0"/>
    <w:rsid w:val="00C32EC4"/>
    <w:rsid w:val="00C3448A"/>
    <w:rsid w:val="00C40235"/>
    <w:rsid w:val="00C402A4"/>
    <w:rsid w:val="00C41F17"/>
    <w:rsid w:val="00C42C4D"/>
    <w:rsid w:val="00C42F38"/>
    <w:rsid w:val="00C44FB4"/>
    <w:rsid w:val="00C45A26"/>
    <w:rsid w:val="00C45F5B"/>
    <w:rsid w:val="00C467B6"/>
    <w:rsid w:val="00C46E04"/>
    <w:rsid w:val="00C476E2"/>
    <w:rsid w:val="00C4796C"/>
    <w:rsid w:val="00C51B93"/>
    <w:rsid w:val="00C51F51"/>
    <w:rsid w:val="00C52489"/>
    <w:rsid w:val="00C54115"/>
    <w:rsid w:val="00C543E1"/>
    <w:rsid w:val="00C545C9"/>
    <w:rsid w:val="00C546F4"/>
    <w:rsid w:val="00C54A03"/>
    <w:rsid w:val="00C54FC8"/>
    <w:rsid w:val="00C55865"/>
    <w:rsid w:val="00C56126"/>
    <w:rsid w:val="00C5753B"/>
    <w:rsid w:val="00C606E1"/>
    <w:rsid w:val="00C61BD8"/>
    <w:rsid w:val="00C62E1A"/>
    <w:rsid w:val="00C6304D"/>
    <w:rsid w:val="00C63FBD"/>
    <w:rsid w:val="00C64A75"/>
    <w:rsid w:val="00C65BC5"/>
    <w:rsid w:val="00C669A0"/>
    <w:rsid w:val="00C676E1"/>
    <w:rsid w:val="00C67740"/>
    <w:rsid w:val="00C67823"/>
    <w:rsid w:val="00C70716"/>
    <w:rsid w:val="00C711A1"/>
    <w:rsid w:val="00C7141E"/>
    <w:rsid w:val="00C71B27"/>
    <w:rsid w:val="00C73360"/>
    <w:rsid w:val="00C748BB"/>
    <w:rsid w:val="00C74F1E"/>
    <w:rsid w:val="00C75081"/>
    <w:rsid w:val="00C75833"/>
    <w:rsid w:val="00C766DD"/>
    <w:rsid w:val="00C76755"/>
    <w:rsid w:val="00C803C7"/>
    <w:rsid w:val="00C80D4B"/>
    <w:rsid w:val="00C81008"/>
    <w:rsid w:val="00C81CA7"/>
    <w:rsid w:val="00C81ECA"/>
    <w:rsid w:val="00C8271E"/>
    <w:rsid w:val="00C8358C"/>
    <w:rsid w:val="00C8626F"/>
    <w:rsid w:val="00C86445"/>
    <w:rsid w:val="00C86512"/>
    <w:rsid w:val="00C86BA5"/>
    <w:rsid w:val="00C872E6"/>
    <w:rsid w:val="00C87D70"/>
    <w:rsid w:val="00C9025E"/>
    <w:rsid w:val="00C91275"/>
    <w:rsid w:val="00C91B56"/>
    <w:rsid w:val="00C91F3B"/>
    <w:rsid w:val="00C92F5F"/>
    <w:rsid w:val="00C931FC"/>
    <w:rsid w:val="00C95E9D"/>
    <w:rsid w:val="00C960C3"/>
    <w:rsid w:val="00C97833"/>
    <w:rsid w:val="00CA069A"/>
    <w:rsid w:val="00CA3057"/>
    <w:rsid w:val="00CA311E"/>
    <w:rsid w:val="00CA3964"/>
    <w:rsid w:val="00CA4EFF"/>
    <w:rsid w:val="00CA5237"/>
    <w:rsid w:val="00CA6618"/>
    <w:rsid w:val="00CA7BED"/>
    <w:rsid w:val="00CB007D"/>
    <w:rsid w:val="00CB0344"/>
    <w:rsid w:val="00CB07BD"/>
    <w:rsid w:val="00CB0A56"/>
    <w:rsid w:val="00CB1B20"/>
    <w:rsid w:val="00CB2898"/>
    <w:rsid w:val="00CB3375"/>
    <w:rsid w:val="00CB379D"/>
    <w:rsid w:val="00CB4FD8"/>
    <w:rsid w:val="00CB613C"/>
    <w:rsid w:val="00CB629C"/>
    <w:rsid w:val="00CB6F2F"/>
    <w:rsid w:val="00CB726D"/>
    <w:rsid w:val="00CB758B"/>
    <w:rsid w:val="00CB7B18"/>
    <w:rsid w:val="00CC0907"/>
    <w:rsid w:val="00CC0A82"/>
    <w:rsid w:val="00CC0B31"/>
    <w:rsid w:val="00CC120C"/>
    <w:rsid w:val="00CC1802"/>
    <w:rsid w:val="00CC19FD"/>
    <w:rsid w:val="00CC1CB0"/>
    <w:rsid w:val="00CC210E"/>
    <w:rsid w:val="00CC2652"/>
    <w:rsid w:val="00CC3A8B"/>
    <w:rsid w:val="00CC40C5"/>
    <w:rsid w:val="00CC48FA"/>
    <w:rsid w:val="00CC4B9A"/>
    <w:rsid w:val="00CC51EC"/>
    <w:rsid w:val="00CC5E99"/>
    <w:rsid w:val="00CC5EBC"/>
    <w:rsid w:val="00CC6208"/>
    <w:rsid w:val="00CC624A"/>
    <w:rsid w:val="00CC6797"/>
    <w:rsid w:val="00CC776C"/>
    <w:rsid w:val="00CC78CD"/>
    <w:rsid w:val="00CC7C1A"/>
    <w:rsid w:val="00CD045D"/>
    <w:rsid w:val="00CD0528"/>
    <w:rsid w:val="00CD1A1E"/>
    <w:rsid w:val="00CD2528"/>
    <w:rsid w:val="00CD391E"/>
    <w:rsid w:val="00CD4EBE"/>
    <w:rsid w:val="00CD59D8"/>
    <w:rsid w:val="00CD5D32"/>
    <w:rsid w:val="00CD710F"/>
    <w:rsid w:val="00CD712D"/>
    <w:rsid w:val="00CE0A57"/>
    <w:rsid w:val="00CE13CD"/>
    <w:rsid w:val="00CE14EB"/>
    <w:rsid w:val="00CE25FB"/>
    <w:rsid w:val="00CE27BE"/>
    <w:rsid w:val="00CE2800"/>
    <w:rsid w:val="00CE2AB4"/>
    <w:rsid w:val="00CE2F60"/>
    <w:rsid w:val="00CE2FD2"/>
    <w:rsid w:val="00CE36A4"/>
    <w:rsid w:val="00CE54B0"/>
    <w:rsid w:val="00CE6104"/>
    <w:rsid w:val="00CE6A61"/>
    <w:rsid w:val="00CF1BBF"/>
    <w:rsid w:val="00CF1D15"/>
    <w:rsid w:val="00CF342D"/>
    <w:rsid w:val="00CF3C26"/>
    <w:rsid w:val="00CF4367"/>
    <w:rsid w:val="00CF4814"/>
    <w:rsid w:val="00CF48A4"/>
    <w:rsid w:val="00CF5447"/>
    <w:rsid w:val="00CF75BB"/>
    <w:rsid w:val="00D00AAD"/>
    <w:rsid w:val="00D026E7"/>
    <w:rsid w:val="00D0343E"/>
    <w:rsid w:val="00D03A9D"/>
    <w:rsid w:val="00D03FFB"/>
    <w:rsid w:val="00D04023"/>
    <w:rsid w:val="00D042EF"/>
    <w:rsid w:val="00D04682"/>
    <w:rsid w:val="00D057A8"/>
    <w:rsid w:val="00D06AE9"/>
    <w:rsid w:val="00D07B57"/>
    <w:rsid w:val="00D07D19"/>
    <w:rsid w:val="00D105A5"/>
    <w:rsid w:val="00D1068E"/>
    <w:rsid w:val="00D11ED7"/>
    <w:rsid w:val="00D128EE"/>
    <w:rsid w:val="00D12BD9"/>
    <w:rsid w:val="00D1370A"/>
    <w:rsid w:val="00D13CFA"/>
    <w:rsid w:val="00D14564"/>
    <w:rsid w:val="00D1460E"/>
    <w:rsid w:val="00D14B2C"/>
    <w:rsid w:val="00D14E6C"/>
    <w:rsid w:val="00D160C7"/>
    <w:rsid w:val="00D17B37"/>
    <w:rsid w:val="00D205E1"/>
    <w:rsid w:val="00D20EE8"/>
    <w:rsid w:val="00D21547"/>
    <w:rsid w:val="00D227C2"/>
    <w:rsid w:val="00D23386"/>
    <w:rsid w:val="00D233D2"/>
    <w:rsid w:val="00D23494"/>
    <w:rsid w:val="00D23B85"/>
    <w:rsid w:val="00D247C6"/>
    <w:rsid w:val="00D24AFA"/>
    <w:rsid w:val="00D24DAB"/>
    <w:rsid w:val="00D24FC1"/>
    <w:rsid w:val="00D25141"/>
    <w:rsid w:val="00D25AF0"/>
    <w:rsid w:val="00D25E06"/>
    <w:rsid w:val="00D300A1"/>
    <w:rsid w:val="00D319D7"/>
    <w:rsid w:val="00D34383"/>
    <w:rsid w:val="00D343EE"/>
    <w:rsid w:val="00D343F9"/>
    <w:rsid w:val="00D35126"/>
    <w:rsid w:val="00D353C3"/>
    <w:rsid w:val="00D355DC"/>
    <w:rsid w:val="00D36332"/>
    <w:rsid w:val="00D37809"/>
    <w:rsid w:val="00D402E7"/>
    <w:rsid w:val="00D40523"/>
    <w:rsid w:val="00D40A47"/>
    <w:rsid w:val="00D41208"/>
    <w:rsid w:val="00D414E1"/>
    <w:rsid w:val="00D41CB0"/>
    <w:rsid w:val="00D4265F"/>
    <w:rsid w:val="00D43803"/>
    <w:rsid w:val="00D44C2D"/>
    <w:rsid w:val="00D44DBB"/>
    <w:rsid w:val="00D44DC7"/>
    <w:rsid w:val="00D45774"/>
    <w:rsid w:val="00D47182"/>
    <w:rsid w:val="00D5122E"/>
    <w:rsid w:val="00D515AD"/>
    <w:rsid w:val="00D52BDB"/>
    <w:rsid w:val="00D53098"/>
    <w:rsid w:val="00D53324"/>
    <w:rsid w:val="00D5381B"/>
    <w:rsid w:val="00D539AD"/>
    <w:rsid w:val="00D54BFB"/>
    <w:rsid w:val="00D554B2"/>
    <w:rsid w:val="00D558B3"/>
    <w:rsid w:val="00D55901"/>
    <w:rsid w:val="00D559B9"/>
    <w:rsid w:val="00D56363"/>
    <w:rsid w:val="00D56B82"/>
    <w:rsid w:val="00D575F5"/>
    <w:rsid w:val="00D579B6"/>
    <w:rsid w:val="00D57C11"/>
    <w:rsid w:val="00D60AAE"/>
    <w:rsid w:val="00D60D57"/>
    <w:rsid w:val="00D634D5"/>
    <w:rsid w:val="00D6398B"/>
    <w:rsid w:val="00D63AEE"/>
    <w:rsid w:val="00D63E85"/>
    <w:rsid w:val="00D63ECB"/>
    <w:rsid w:val="00D6453A"/>
    <w:rsid w:val="00D6484D"/>
    <w:rsid w:val="00D64B81"/>
    <w:rsid w:val="00D6520C"/>
    <w:rsid w:val="00D6607B"/>
    <w:rsid w:val="00D66524"/>
    <w:rsid w:val="00D667A6"/>
    <w:rsid w:val="00D67EE4"/>
    <w:rsid w:val="00D70068"/>
    <w:rsid w:val="00D704B7"/>
    <w:rsid w:val="00D719A9"/>
    <w:rsid w:val="00D71C02"/>
    <w:rsid w:val="00D72562"/>
    <w:rsid w:val="00D725EA"/>
    <w:rsid w:val="00D72D57"/>
    <w:rsid w:val="00D730F3"/>
    <w:rsid w:val="00D73C8B"/>
    <w:rsid w:val="00D73E97"/>
    <w:rsid w:val="00D74AD4"/>
    <w:rsid w:val="00D74C21"/>
    <w:rsid w:val="00D74C54"/>
    <w:rsid w:val="00D753CE"/>
    <w:rsid w:val="00D754EB"/>
    <w:rsid w:val="00D765C5"/>
    <w:rsid w:val="00D76E03"/>
    <w:rsid w:val="00D8012F"/>
    <w:rsid w:val="00D807A8"/>
    <w:rsid w:val="00D81970"/>
    <w:rsid w:val="00D82518"/>
    <w:rsid w:val="00D82556"/>
    <w:rsid w:val="00D82587"/>
    <w:rsid w:val="00D82CED"/>
    <w:rsid w:val="00D82ECF"/>
    <w:rsid w:val="00D832E9"/>
    <w:rsid w:val="00D83506"/>
    <w:rsid w:val="00D83F8C"/>
    <w:rsid w:val="00D87F8C"/>
    <w:rsid w:val="00D911DC"/>
    <w:rsid w:val="00D93D3C"/>
    <w:rsid w:val="00D93E19"/>
    <w:rsid w:val="00D9425D"/>
    <w:rsid w:val="00D9602D"/>
    <w:rsid w:val="00D96139"/>
    <w:rsid w:val="00DA0B1E"/>
    <w:rsid w:val="00DA17C8"/>
    <w:rsid w:val="00DA289C"/>
    <w:rsid w:val="00DA29E7"/>
    <w:rsid w:val="00DA3317"/>
    <w:rsid w:val="00DA45A8"/>
    <w:rsid w:val="00DA494B"/>
    <w:rsid w:val="00DA4BA4"/>
    <w:rsid w:val="00DA4EF5"/>
    <w:rsid w:val="00DA4F4F"/>
    <w:rsid w:val="00DA5D75"/>
    <w:rsid w:val="00DA5E01"/>
    <w:rsid w:val="00DA6155"/>
    <w:rsid w:val="00DA646F"/>
    <w:rsid w:val="00DA6632"/>
    <w:rsid w:val="00DB0811"/>
    <w:rsid w:val="00DB10B9"/>
    <w:rsid w:val="00DB157F"/>
    <w:rsid w:val="00DB15A6"/>
    <w:rsid w:val="00DB1E32"/>
    <w:rsid w:val="00DB24EF"/>
    <w:rsid w:val="00DB5386"/>
    <w:rsid w:val="00DB5576"/>
    <w:rsid w:val="00DB58C9"/>
    <w:rsid w:val="00DB5B30"/>
    <w:rsid w:val="00DB645A"/>
    <w:rsid w:val="00DB6664"/>
    <w:rsid w:val="00DB67B5"/>
    <w:rsid w:val="00DB6AB8"/>
    <w:rsid w:val="00DB6F41"/>
    <w:rsid w:val="00DC25E1"/>
    <w:rsid w:val="00DC2A15"/>
    <w:rsid w:val="00DC4493"/>
    <w:rsid w:val="00DC4FAF"/>
    <w:rsid w:val="00DC5765"/>
    <w:rsid w:val="00DC59FC"/>
    <w:rsid w:val="00DC5D73"/>
    <w:rsid w:val="00DC6704"/>
    <w:rsid w:val="00DC6C5B"/>
    <w:rsid w:val="00DC6C91"/>
    <w:rsid w:val="00DD1878"/>
    <w:rsid w:val="00DD26F4"/>
    <w:rsid w:val="00DD3383"/>
    <w:rsid w:val="00DD3505"/>
    <w:rsid w:val="00DD4D7D"/>
    <w:rsid w:val="00DD4D7F"/>
    <w:rsid w:val="00DD56CC"/>
    <w:rsid w:val="00DD622B"/>
    <w:rsid w:val="00DD6A00"/>
    <w:rsid w:val="00DD71B6"/>
    <w:rsid w:val="00DD7D27"/>
    <w:rsid w:val="00DE032E"/>
    <w:rsid w:val="00DE0685"/>
    <w:rsid w:val="00DE092B"/>
    <w:rsid w:val="00DE1E5E"/>
    <w:rsid w:val="00DE233C"/>
    <w:rsid w:val="00DE2867"/>
    <w:rsid w:val="00DE3A1C"/>
    <w:rsid w:val="00DE434C"/>
    <w:rsid w:val="00DE5701"/>
    <w:rsid w:val="00DE5DA8"/>
    <w:rsid w:val="00DE5FBA"/>
    <w:rsid w:val="00DE616B"/>
    <w:rsid w:val="00DE68B8"/>
    <w:rsid w:val="00DE766B"/>
    <w:rsid w:val="00DF0AE7"/>
    <w:rsid w:val="00DF1037"/>
    <w:rsid w:val="00DF1ED2"/>
    <w:rsid w:val="00DF33E7"/>
    <w:rsid w:val="00DF3E79"/>
    <w:rsid w:val="00DF3EA5"/>
    <w:rsid w:val="00DF401C"/>
    <w:rsid w:val="00DF4FFD"/>
    <w:rsid w:val="00DF508C"/>
    <w:rsid w:val="00DF5D96"/>
    <w:rsid w:val="00DF6953"/>
    <w:rsid w:val="00DF6C44"/>
    <w:rsid w:val="00E01242"/>
    <w:rsid w:val="00E014B4"/>
    <w:rsid w:val="00E02956"/>
    <w:rsid w:val="00E03FD7"/>
    <w:rsid w:val="00E04243"/>
    <w:rsid w:val="00E06C3D"/>
    <w:rsid w:val="00E07406"/>
    <w:rsid w:val="00E07BE5"/>
    <w:rsid w:val="00E0A017"/>
    <w:rsid w:val="00E10672"/>
    <w:rsid w:val="00E1241C"/>
    <w:rsid w:val="00E12495"/>
    <w:rsid w:val="00E12BCD"/>
    <w:rsid w:val="00E131B5"/>
    <w:rsid w:val="00E13692"/>
    <w:rsid w:val="00E13FE6"/>
    <w:rsid w:val="00E1497F"/>
    <w:rsid w:val="00E14EEC"/>
    <w:rsid w:val="00E155C9"/>
    <w:rsid w:val="00E15942"/>
    <w:rsid w:val="00E17A51"/>
    <w:rsid w:val="00E206CF"/>
    <w:rsid w:val="00E2082C"/>
    <w:rsid w:val="00E21E4B"/>
    <w:rsid w:val="00E22578"/>
    <w:rsid w:val="00E2293E"/>
    <w:rsid w:val="00E23339"/>
    <w:rsid w:val="00E23B58"/>
    <w:rsid w:val="00E243FF"/>
    <w:rsid w:val="00E263C5"/>
    <w:rsid w:val="00E26557"/>
    <w:rsid w:val="00E26706"/>
    <w:rsid w:val="00E26F6F"/>
    <w:rsid w:val="00E2786E"/>
    <w:rsid w:val="00E333E6"/>
    <w:rsid w:val="00E3390A"/>
    <w:rsid w:val="00E343AC"/>
    <w:rsid w:val="00E345F2"/>
    <w:rsid w:val="00E3483B"/>
    <w:rsid w:val="00E3496B"/>
    <w:rsid w:val="00E3638A"/>
    <w:rsid w:val="00E36703"/>
    <w:rsid w:val="00E3703B"/>
    <w:rsid w:val="00E37698"/>
    <w:rsid w:val="00E37A6C"/>
    <w:rsid w:val="00E37F34"/>
    <w:rsid w:val="00E37FA4"/>
    <w:rsid w:val="00E3B6B4"/>
    <w:rsid w:val="00E40280"/>
    <w:rsid w:val="00E4044A"/>
    <w:rsid w:val="00E4088D"/>
    <w:rsid w:val="00E4097C"/>
    <w:rsid w:val="00E4312B"/>
    <w:rsid w:val="00E43573"/>
    <w:rsid w:val="00E43DA0"/>
    <w:rsid w:val="00E44057"/>
    <w:rsid w:val="00E445EF"/>
    <w:rsid w:val="00E448AB"/>
    <w:rsid w:val="00E44A68"/>
    <w:rsid w:val="00E51A56"/>
    <w:rsid w:val="00E53996"/>
    <w:rsid w:val="00E54EC9"/>
    <w:rsid w:val="00E55010"/>
    <w:rsid w:val="00E5509B"/>
    <w:rsid w:val="00E557F8"/>
    <w:rsid w:val="00E56043"/>
    <w:rsid w:val="00E56FB6"/>
    <w:rsid w:val="00E5757F"/>
    <w:rsid w:val="00E57BAF"/>
    <w:rsid w:val="00E62242"/>
    <w:rsid w:val="00E62B36"/>
    <w:rsid w:val="00E66015"/>
    <w:rsid w:val="00E67A02"/>
    <w:rsid w:val="00E67D97"/>
    <w:rsid w:val="00E67F4A"/>
    <w:rsid w:val="00E70563"/>
    <w:rsid w:val="00E706BE"/>
    <w:rsid w:val="00E70D3A"/>
    <w:rsid w:val="00E7155B"/>
    <w:rsid w:val="00E71ECF"/>
    <w:rsid w:val="00E7218E"/>
    <w:rsid w:val="00E73071"/>
    <w:rsid w:val="00E74684"/>
    <w:rsid w:val="00E748B4"/>
    <w:rsid w:val="00E74931"/>
    <w:rsid w:val="00E76025"/>
    <w:rsid w:val="00E77548"/>
    <w:rsid w:val="00E80290"/>
    <w:rsid w:val="00E80652"/>
    <w:rsid w:val="00E80713"/>
    <w:rsid w:val="00E80F71"/>
    <w:rsid w:val="00E80FC8"/>
    <w:rsid w:val="00E819E9"/>
    <w:rsid w:val="00E81DAB"/>
    <w:rsid w:val="00E82077"/>
    <w:rsid w:val="00E82989"/>
    <w:rsid w:val="00E83773"/>
    <w:rsid w:val="00E837A6"/>
    <w:rsid w:val="00E83CE4"/>
    <w:rsid w:val="00E84793"/>
    <w:rsid w:val="00E847B3"/>
    <w:rsid w:val="00E851E4"/>
    <w:rsid w:val="00E86E8E"/>
    <w:rsid w:val="00E92D8F"/>
    <w:rsid w:val="00E92F6F"/>
    <w:rsid w:val="00E93219"/>
    <w:rsid w:val="00E93224"/>
    <w:rsid w:val="00E93D28"/>
    <w:rsid w:val="00E94E6F"/>
    <w:rsid w:val="00E9601D"/>
    <w:rsid w:val="00E96E29"/>
    <w:rsid w:val="00EA1325"/>
    <w:rsid w:val="00EA23A8"/>
    <w:rsid w:val="00EA2AE0"/>
    <w:rsid w:val="00EA2F72"/>
    <w:rsid w:val="00EA4167"/>
    <w:rsid w:val="00EA487F"/>
    <w:rsid w:val="00EA4A4C"/>
    <w:rsid w:val="00EA51DC"/>
    <w:rsid w:val="00EA5A3B"/>
    <w:rsid w:val="00EA5EC0"/>
    <w:rsid w:val="00EA6712"/>
    <w:rsid w:val="00EA6B93"/>
    <w:rsid w:val="00EA6F38"/>
    <w:rsid w:val="00EA73BF"/>
    <w:rsid w:val="00EA7A72"/>
    <w:rsid w:val="00EA7AAF"/>
    <w:rsid w:val="00EA7F62"/>
    <w:rsid w:val="00EB0630"/>
    <w:rsid w:val="00EB0658"/>
    <w:rsid w:val="00EB0D5D"/>
    <w:rsid w:val="00EB16C3"/>
    <w:rsid w:val="00EB1A58"/>
    <w:rsid w:val="00EB1B49"/>
    <w:rsid w:val="00EB1FC3"/>
    <w:rsid w:val="00EB21F3"/>
    <w:rsid w:val="00EB2291"/>
    <w:rsid w:val="00EB2A40"/>
    <w:rsid w:val="00EB2C4C"/>
    <w:rsid w:val="00EB345B"/>
    <w:rsid w:val="00EB3E1E"/>
    <w:rsid w:val="00EB3F98"/>
    <w:rsid w:val="00EB40D7"/>
    <w:rsid w:val="00EB5AF2"/>
    <w:rsid w:val="00EB6053"/>
    <w:rsid w:val="00EB6352"/>
    <w:rsid w:val="00EB7C89"/>
    <w:rsid w:val="00EC0939"/>
    <w:rsid w:val="00EC3179"/>
    <w:rsid w:val="00EC38EC"/>
    <w:rsid w:val="00EC4428"/>
    <w:rsid w:val="00EC449D"/>
    <w:rsid w:val="00EC4F31"/>
    <w:rsid w:val="00EC6AA6"/>
    <w:rsid w:val="00EC6D65"/>
    <w:rsid w:val="00EC7577"/>
    <w:rsid w:val="00ECC576"/>
    <w:rsid w:val="00ECF305"/>
    <w:rsid w:val="00ED0671"/>
    <w:rsid w:val="00ED07E2"/>
    <w:rsid w:val="00ED0CC1"/>
    <w:rsid w:val="00ED27E5"/>
    <w:rsid w:val="00ED2B45"/>
    <w:rsid w:val="00ED5031"/>
    <w:rsid w:val="00ED51BA"/>
    <w:rsid w:val="00ED5392"/>
    <w:rsid w:val="00ED73C2"/>
    <w:rsid w:val="00ED79E6"/>
    <w:rsid w:val="00EE142F"/>
    <w:rsid w:val="00EE2221"/>
    <w:rsid w:val="00EE30D1"/>
    <w:rsid w:val="00EE483B"/>
    <w:rsid w:val="00EE5411"/>
    <w:rsid w:val="00EE6638"/>
    <w:rsid w:val="00EE77A7"/>
    <w:rsid w:val="00EE7BAF"/>
    <w:rsid w:val="00EF2F39"/>
    <w:rsid w:val="00EF353C"/>
    <w:rsid w:val="00EF376C"/>
    <w:rsid w:val="00EF6263"/>
    <w:rsid w:val="00EF665D"/>
    <w:rsid w:val="00F01783"/>
    <w:rsid w:val="00F03012"/>
    <w:rsid w:val="00F03288"/>
    <w:rsid w:val="00F03ACC"/>
    <w:rsid w:val="00F03F40"/>
    <w:rsid w:val="00F05472"/>
    <w:rsid w:val="00F05E3E"/>
    <w:rsid w:val="00F075A8"/>
    <w:rsid w:val="00F0A9F2"/>
    <w:rsid w:val="00F119BC"/>
    <w:rsid w:val="00F129DA"/>
    <w:rsid w:val="00F14695"/>
    <w:rsid w:val="00F151F7"/>
    <w:rsid w:val="00F1530A"/>
    <w:rsid w:val="00F15B6A"/>
    <w:rsid w:val="00F16094"/>
    <w:rsid w:val="00F167C2"/>
    <w:rsid w:val="00F16D91"/>
    <w:rsid w:val="00F17F0C"/>
    <w:rsid w:val="00F2038F"/>
    <w:rsid w:val="00F20A84"/>
    <w:rsid w:val="00F21476"/>
    <w:rsid w:val="00F22A1F"/>
    <w:rsid w:val="00F23781"/>
    <w:rsid w:val="00F23AF7"/>
    <w:rsid w:val="00F25A78"/>
    <w:rsid w:val="00F271AA"/>
    <w:rsid w:val="00F309A7"/>
    <w:rsid w:val="00F32C16"/>
    <w:rsid w:val="00F335E0"/>
    <w:rsid w:val="00F33BE1"/>
    <w:rsid w:val="00F33E1B"/>
    <w:rsid w:val="00F33E57"/>
    <w:rsid w:val="00F33F8E"/>
    <w:rsid w:val="00F35AFC"/>
    <w:rsid w:val="00F37258"/>
    <w:rsid w:val="00F373D9"/>
    <w:rsid w:val="00F37D38"/>
    <w:rsid w:val="00F41A1C"/>
    <w:rsid w:val="00F41EF2"/>
    <w:rsid w:val="00F426D3"/>
    <w:rsid w:val="00F42FD9"/>
    <w:rsid w:val="00F43D09"/>
    <w:rsid w:val="00F44CF2"/>
    <w:rsid w:val="00F47032"/>
    <w:rsid w:val="00F488BC"/>
    <w:rsid w:val="00F50171"/>
    <w:rsid w:val="00F51DB1"/>
    <w:rsid w:val="00F51E45"/>
    <w:rsid w:val="00F520AA"/>
    <w:rsid w:val="00F545F9"/>
    <w:rsid w:val="00F549B1"/>
    <w:rsid w:val="00F55678"/>
    <w:rsid w:val="00F56036"/>
    <w:rsid w:val="00F563A6"/>
    <w:rsid w:val="00F56431"/>
    <w:rsid w:val="00F567A7"/>
    <w:rsid w:val="00F56E51"/>
    <w:rsid w:val="00F56EE7"/>
    <w:rsid w:val="00F570A8"/>
    <w:rsid w:val="00F572D2"/>
    <w:rsid w:val="00F5762A"/>
    <w:rsid w:val="00F5763F"/>
    <w:rsid w:val="00F57A06"/>
    <w:rsid w:val="00F61E53"/>
    <w:rsid w:val="00F62418"/>
    <w:rsid w:val="00F62881"/>
    <w:rsid w:val="00F64E7C"/>
    <w:rsid w:val="00F66823"/>
    <w:rsid w:val="00F700BC"/>
    <w:rsid w:val="00F704CF"/>
    <w:rsid w:val="00F706CC"/>
    <w:rsid w:val="00F72230"/>
    <w:rsid w:val="00F733A8"/>
    <w:rsid w:val="00F73FEC"/>
    <w:rsid w:val="00F81101"/>
    <w:rsid w:val="00F81B53"/>
    <w:rsid w:val="00F83F7A"/>
    <w:rsid w:val="00F84742"/>
    <w:rsid w:val="00F84C6E"/>
    <w:rsid w:val="00F85118"/>
    <w:rsid w:val="00F86517"/>
    <w:rsid w:val="00F90F60"/>
    <w:rsid w:val="00F915FB"/>
    <w:rsid w:val="00F9192D"/>
    <w:rsid w:val="00F91D8B"/>
    <w:rsid w:val="00F9238D"/>
    <w:rsid w:val="00F92EF0"/>
    <w:rsid w:val="00F93BE5"/>
    <w:rsid w:val="00F95DA8"/>
    <w:rsid w:val="00F967A9"/>
    <w:rsid w:val="00F96CE5"/>
    <w:rsid w:val="00F96F7E"/>
    <w:rsid w:val="00F96FB4"/>
    <w:rsid w:val="00F971F3"/>
    <w:rsid w:val="00F976CC"/>
    <w:rsid w:val="00F97ADE"/>
    <w:rsid w:val="00FA0306"/>
    <w:rsid w:val="00FA06AD"/>
    <w:rsid w:val="00FA0F7B"/>
    <w:rsid w:val="00FA1A4D"/>
    <w:rsid w:val="00FA1A8E"/>
    <w:rsid w:val="00FA24CF"/>
    <w:rsid w:val="00FA28C0"/>
    <w:rsid w:val="00FA3181"/>
    <w:rsid w:val="00FA35C2"/>
    <w:rsid w:val="00FA3902"/>
    <w:rsid w:val="00FA3E6D"/>
    <w:rsid w:val="00FA426A"/>
    <w:rsid w:val="00FA4497"/>
    <w:rsid w:val="00FA488A"/>
    <w:rsid w:val="00FA5DBE"/>
    <w:rsid w:val="00FA64D3"/>
    <w:rsid w:val="00FA68E2"/>
    <w:rsid w:val="00FA6A1C"/>
    <w:rsid w:val="00FA6F88"/>
    <w:rsid w:val="00FA7C60"/>
    <w:rsid w:val="00FA7CE1"/>
    <w:rsid w:val="00FB052A"/>
    <w:rsid w:val="00FB2650"/>
    <w:rsid w:val="00FB33CA"/>
    <w:rsid w:val="00FB3C36"/>
    <w:rsid w:val="00FB43FD"/>
    <w:rsid w:val="00FB475E"/>
    <w:rsid w:val="00FB6E9E"/>
    <w:rsid w:val="00FB7278"/>
    <w:rsid w:val="00FB752E"/>
    <w:rsid w:val="00FC08E9"/>
    <w:rsid w:val="00FC0E09"/>
    <w:rsid w:val="00FC0FA9"/>
    <w:rsid w:val="00FC11C9"/>
    <w:rsid w:val="00FC32F3"/>
    <w:rsid w:val="00FC5881"/>
    <w:rsid w:val="00FC6F15"/>
    <w:rsid w:val="00FC6F72"/>
    <w:rsid w:val="00FC747D"/>
    <w:rsid w:val="00FC755F"/>
    <w:rsid w:val="00FC7DB1"/>
    <w:rsid w:val="00FC7DC5"/>
    <w:rsid w:val="00FD07C1"/>
    <w:rsid w:val="00FD17DD"/>
    <w:rsid w:val="00FD1F00"/>
    <w:rsid w:val="00FD1FB1"/>
    <w:rsid w:val="00FD28B7"/>
    <w:rsid w:val="00FD2AD7"/>
    <w:rsid w:val="00FD3759"/>
    <w:rsid w:val="00FD4C59"/>
    <w:rsid w:val="00FD583C"/>
    <w:rsid w:val="00FD59D1"/>
    <w:rsid w:val="00FD6093"/>
    <w:rsid w:val="00FD70B5"/>
    <w:rsid w:val="00FD75EC"/>
    <w:rsid w:val="00FE00B4"/>
    <w:rsid w:val="00FE0745"/>
    <w:rsid w:val="00FE0A3A"/>
    <w:rsid w:val="00FE10FC"/>
    <w:rsid w:val="00FE22BD"/>
    <w:rsid w:val="00FE2E09"/>
    <w:rsid w:val="00FE34ED"/>
    <w:rsid w:val="00FE42CB"/>
    <w:rsid w:val="00FE4D0B"/>
    <w:rsid w:val="00FE69A9"/>
    <w:rsid w:val="00FE6E10"/>
    <w:rsid w:val="00FE7F8F"/>
    <w:rsid w:val="00FF0F5F"/>
    <w:rsid w:val="00FF2782"/>
    <w:rsid w:val="00FF2EAC"/>
    <w:rsid w:val="00FF3319"/>
    <w:rsid w:val="00FF34E9"/>
    <w:rsid w:val="00FF4566"/>
    <w:rsid w:val="00FF52D0"/>
    <w:rsid w:val="00FF5436"/>
    <w:rsid w:val="00FF5CC9"/>
    <w:rsid w:val="00FF62DA"/>
    <w:rsid w:val="00FF6F50"/>
    <w:rsid w:val="00FF75EB"/>
    <w:rsid w:val="0117FCAA"/>
    <w:rsid w:val="012F3F55"/>
    <w:rsid w:val="0137C15D"/>
    <w:rsid w:val="013E47DA"/>
    <w:rsid w:val="014BAA5F"/>
    <w:rsid w:val="014E39F6"/>
    <w:rsid w:val="0155B21B"/>
    <w:rsid w:val="016561A2"/>
    <w:rsid w:val="017C383C"/>
    <w:rsid w:val="017C7FE2"/>
    <w:rsid w:val="01ABBC33"/>
    <w:rsid w:val="01B18828"/>
    <w:rsid w:val="01B3C1C6"/>
    <w:rsid w:val="01C14D98"/>
    <w:rsid w:val="01C96CF4"/>
    <w:rsid w:val="01D6D7A2"/>
    <w:rsid w:val="01EFF5EC"/>
    <w:rsid w:val="01F8FCFF"/>
    <w:rsid w:val="0218705F"/>
    <w:rsid w:val="021AA351"/>
    <w:rsid w:val="021E562A"/>
    <w:rsid w:val="0221AE23"/>
    <w:rsid w:val="02299242"/>
    <w:rsid w:val="02304ADF"/>
    <w:rsid w:val="023A11B8"/>
    <w:rsid w:val="02574DA9"/>
    <w:rsid w:val="025BFCB0"/>
    <w:rsid w:val="026E9058"/>
    <w:rsid w:val="027749ED"/>
    <w:rsid w:val="0277B9F7"/>
    <w:rsid w:val="0289DECB"/>
    <w:rsid w:val="029E1602"/>
    <w:rsid w:val="02D1B061"/>
    <w:rsid w:val="02FEA595"/>
    <w:rsid w:val="03069ECD"/>
    <w:rsid w:val="030E2131"/>
    <w:rsid w:val="0313B301"/>
    <w:rsid w:val="031F0B3A"/>
    <w:rsid w:val="0322A8E4"/>
    <w:rsid w:val="0332C505"/>
    <w:rsid w:val="0335EE0D"/>
    <w:rsid w:val="03415B5B"/>
    <w:rsid w:val="038A76D7"/>
    <w:rsid w:val="0391A01F"/>
    <w:rsid w:val="03A03315"/>
    <w:rsid w:val="03BF08E1"/>
    <w:rsid w:val="03D74B31"/>
    <w:rsid w:val="03E624F8"/>
    <w:rsid w:val="03F4E42C"/>
    <w:rsid w:val="03FB1436"/>
    <w:rsid w:val="04274C62"/>
    <w:rsid w:val="0434C432"/>
    <w:rsid w:val="0452A053"/>
    <w:rsid w:val="045C0594"/>
    <w:rsid w:val="04929307"/>
    <w:rsid w:val="04B68443"/>
    <w:rsid w:val="04D8188D"/>
    <w:rsid w:val="04DB9213"/>
    <w:rsid w:val="04FC78EB"/>
    <w:rsid w:val="04FF77F9"/>
    <w:rsid w:val="050A59BF"/>
    <w:rsid w:val="05171467"/>
    <w:rsid w:val="051D0237"/>
    <w:rsid w:val="05282B06"/>
    <w:rsid w:val="052A4518"/>
    <w:rsid w:val="05378B44"/>
    <w:rsid w:val="05544437"/>
    <w:rsid w:val="0555F076"/>
    <w:rsid w:val="055DF2F4"/>
    <w:rsid w:val="0574E198"/>
    <w:rsid w:val="057767D5"/>
    <w:rsid w:val="05B0F7CD"/>
    <w:rsid w:val="05B99979"/>
    <w:rsid w:val="05BA95BB"/>
    <w:rsid w:val="05BAC882"/>
    <w:rsid w:val="05C015B0"/>
    <w:rsid w:val="05C2ADAC"/>
    <w:rsid w:val="05CEFAFD"/>
    <w:rsid w:val="05E67E05"/>
    <w:rsid w:val="05E9AA64"/>
    <w:rsid w:val="05EE4978"/>
    <w:rsid w:val="05F71CAF"/>
    <w:rsid w:val="060F3193"/>
    <w:rsid w:val="062408D2"/>
    <w:rsid w:val="0646D7E3"/>
    <w:rsid w:val="0651F8BF"/>
    <w:rsid w:val="065C3742"/>
    <w:rsid w:val="0685FDE9"/>
    <w:rsid w:val="068BB582"/>
    <w:rsid w:val="068EF221"/>
    <w:rsid w:val="06A3370B"/>
    <w:rsid w:val="06BA1047"/>
    <w:rsid w:val="06C2A28B"/>
    <w:rsid w:val="06C3BF9E"/>
    <w:rsid w:val="06CC5CC1"/>
    <w:rsid w:val="06DB49D8"/>
    <w:rsid w:val="06E75D7D"/>
    <w:rsid w:val="06EE94DE"/>
    <w:rsid w:val="06F5AC5C"/>
    <w:rsid w:val="071A5BFD"/>
    <w:rsid w:val="073FFE8C"/>
    <w:rsid w:val="077CBFCC"/>
    <w:rsid w:val="077FC895"/>
    <w:rsid w:val="078179F9"/>
    <w:rsid w:val="0787AFF9"/>
    <w:rsid w:val="07A3A617"/>
    <w:rsid w:val="07B0237B"/>
    <w:rsid w:val="07B1A271"/>
    <w:rsid w:val="07D447F8"/>
    <w:rsid w:val="07E5F394"/>
    <w:rsid w:val="07F364A2"/>
    <w:rsid w:val="07F85B63"/>
    <w:rsid w:val="0809C4DF"/>
    <w:rsid w:val="08113E6B"/>
    <w:rsid w:val="082317CB"/>
    <w:rsid w:val="083526B4"/>
    <w:rsid w:val="08661B11"/>
    <w:rsid w:val="08699C76"/>
    <w:rsid w:val="08713E3D"/>
    <w:rsid w:val="0873A438"/>
    <w:rsid w:val="0875B8F2"/>
    <w:rsid w:val="088C5866"/>
    <w:rsid w:val="08937D3A"/>
    <w:rsid w:val="089553EF"/>
    <w:rsid w:val="08A8E82A"/>
    <w:rsid w:val="08BC9845"/>
    <w:rsid w:val="08C9FEB7"/>
    <w:rsid w:val="08E2D3B3"/>
    <w:rsid w:val="08E87972"/>
    <w:rsid w:val="091562A1"/>
    <w:rsid w:val="0920DE3D"/>
    <w:rsid w:val="09317246"/>
    <w:rsid w:val="093CD7D6"/>
    <w:rsid w:val="09782D0F"/>
    <w:rsid w:val="098386F4"/>
    <w:rsid w:val="0986AD46"/>
    <w:rsid w:val="098923D8"/>
    <w:rsid w:val="09893AE7"/>
    <w:rsid w:val="09906BF5"/>
    <w:rsid w:val="09918296"/>
    <w:rsid w:val="0995F847"/>
    <w:rsid w:val="099FBA20"/>
    <w:rsid w:val="099FD023"/>
    <w:rsid w:val="09AC89AC"/>
    <w:rsid w:val="09B1344A"/>
    <w:rsid w:val="09B3345A"/>
    <w:rsid w:val="09B659CC"/>
    <w:rsid w:val="09D98BB2"/>
    <w:rsid w:val="09EAF9C8"/>
    <w:rsid w:val="09F8FA30"/>
    <w:rsid w:val="09FA7B07"/>
    <w:rsid w:val="09FB2675"/>
    <w:rsid w:val="0A08AABB"/>
    <w:rsid w:val="0A1DE442"/>
    <w:rsid w:val="0A2A954F"/>
    <w:rsid w:val="0A377BDE"/>
    <w:rsid w:val="0A3EDC98"/>
    <w:rsid w:val="0A50984F"/>
    <w:rsid w:val="0A5E00D1"/>
    <w:rsid w:val="0A6365BC"/>
    <w:rsid w:val="0A63A87B"/>
    <w:rsid w:val="0A6F5928"/>
    <w:rsid w:val="0A709FE9"/>
    <w:rsid w:val="0A789C54"/>
    <w:rsid w:val="0A7E433A"/>
    <w:rsid w:val="0A7E63DB"/>
    <w:rsid w:val="0A7F8EBD"/>
    <w:rsid w:val="0A98E65C"/>
    <w:rsid w:val="0AA3B3CC"/>
    <w:rsid w:val="0AB00A08"/>
    <w:rsid w:val="0AC074DC"/>
    <w:rsid w:val="0AC17311"/>
    <w:rsid w:val="0AE73A4D"/>
    <w:rsid w:val="0AFEE723"/>
    <w:rsid w:val="0B1C0AC9"/>
    <w:rsid w:val="0B3486B9"/>
    <w:rsid w:val="0B3983E0"/>
    <w:rsid w:val="0B4B19DB"/>
    <w:rsid w:val="0B5B8B0A"/>
    <w:rsid w:val="0B6456DC"/>
    <w:rsid w:val="0B78D9D1"/>
    <w:rsid w:val="0B83F96B"/>
    <w:rsid w:val="0B8FC56D"/>
    <w:rsid w:val="0BA48667"/>
    <w:rsid w:val="0BA53543"/>
    <w:rsid w:val="0BB4CD4B"/>
    <w:rsid w:val="0BB71A55"/>
    <w:rsid w:val="0BB84F8B"/>
    <w:rsid w:val="0BC12EC3"/>
    <w:rsid w:val="0BC2D41A"/>
    <w:rsid w:val="0BDFDFC7"/>
    <w:rsid w:val="0BE0889F"/>
    <w:rsid w:val="0BEA183D"/>
    <w:rsid w:val="0BFA6BB0"/>
    <w:rsid w:val="0C00714A"/>
    <w:rsid w:val="0C0FBADC"/>
    <w:rsid w:val="0C1623C6"/>
    <w:rsid w:val="0C261D6A"/>
    <w:rsid w:val="0C2E09F9"/>
    <w:rsid w:val="0C5B211C"/>
    <w:rsid w:val="0C7D9B6F"/>
    <w:rsid w:val="0C7F7EBF"/>
    <w:rsid w:val="0C85DA9F"/>
    <w:rsid w:val="0C98D3D9"/>
    <w:rsid w:val="0C9E74D5"/>
    <w:rsid w:val="0CAADA92"/>
    <w:rsid w:val="0CAEF133"/>
    <w:rsid w:val="0CBFF041"/>
    <w:rsid w:val="0CC7D7AF"/>
    <w:rsid w:val="0CDAE387"/>
    <w:rsid w:val="0CDCC035"/>
    <w:rsid w:val="0CF6A3D5"/>
    <w:rsid w:val="0D078F40"/>
    <w:rsid w:val="0D309AF2"/>
    <w:rsid w:val="0D33C844"/>
    <w:rsid w:val="0D3611E7"/>
    <w:rsid w:val="0D382114"/>
    <w:rsid w:val="0D444455"/>
    <w:rsid w:val="0D6468F3"/>
    <w:rsid w:val="0D69C787"/>
    <w:rsid w:val="0D77149D"/>
    <w:rsid w:val="0D7A0839"/>
    <w:rsid w:val="0D8653BB"/>
    <w:rsid w:val="0D8756A1"/>
    <w:rsid w:val="0D8B2951"/>
    <w:rsid w:val="0D91480A"/>
    <w:rsid w:val="0D987F92"/>
    <w:rsid w:val="0D9F49CD"/>
    <w:rsid w:val="0D9FDE73"/>
    <w:rsid w:val="0DA3C370"/>
    <w:rsid w:val="0DADFEE5"/>
    <w:rsid w:val="0DE26413"/>
    <w:rsid w:val="0DE31DC0"/>
    <w:rsid w:val="0DF536D5"/>
    <w:rsid w:val="0E03C473"/>
    <w:rsid w:val="0E042C1F"/>
    <w:rsid w:val="0E0BB1BF"/>
    <w:rsid w:val="0E20A870"/>
    <w:rsid w:val="0E452DA3"/>
    <w:rsid w:val="0E4A7637"/>
    <w:rsid w:val="0E5024BF"/>
    <w:rsid w:val="0E7F39BD"/>
    <w:rsid w:val="0E88054D"/>
    <w:rsid w:val="0E8E6787"/>
    <w:rsid w:val="0E99120A"/>
    <w:rsid w:val="0E9DE244"/>
    <w:rsid w:val="0EA4C8CE"/>
    <w:rsid w:val="0EA6C7A0"/>
    <w:rsid w:val="0EB86886"/>
    <w:rsid w:val="0EBF320F"/>
    <w:rsid w:val="0ED219B0"/>
    <w:rsid w:val="0ED53689"/>
    <w:rsid w:val="0EDC555C"/>
    <w:rsid w:val="0EF4145A"/>
    <w:rsid w:val="0F0F2F57"/>
    <w:rsid w:val="0F1404BC"/>
    <w:rsid w:val="0F142F61"/>
    <w:rsid w:val="0F195B04"/>
    <w:rsid w:val="0F198476"/>
    <w:rsid w:val="0F31D86B"/>
    <w:rsid w:val="0F34E34C"/>
    <w:rsid w:val="0F38CEE9"/>
    <w:rsid w:val="0F6469BD"/>
    <w:rsid w:val="0F6928D9"/>
    <w:rsid w:val="0F8D006F"/>
    <w:rsid w:val="0F9092C7"/>
    <w:rsid w:val="0F98DAB2"/>
    <w:rsid w:val="0F9CF84D"/>
    <w:rsid w:val="0FA352FB"/>
    <w:rsid w:val="0FACC605"/>
    <w:rsid w:val="0FBB700E"/>
    <w:rsid w:val="0FBC32A9"/>
    <w:rsid w:val="0FBE4154"/>
    <w:rsid w:val="0FD4B1B2"/>
    <w:rsid w:val="0FE675A8"/>
    <w:rsid w:val="0FF02B64"/>
    <w:rsid w:val="1007F3A8"/>
    <w:rsid w:val="102790A4"/>
    <w:rsid w:val="103318FF"/>
    <w:rsid w:val="103BFB4C"/>
    <w:rsid w:val="10420184"/>
    <w:rsid w:val="10420E37"/>
    <w:rsid w:val="104B076F"/>
    <w:rsid w:val="10519B31"/>
    <w:rsid w:val="1056F901"/>
    <w:rsid w:val="105A0171"/>
    <w:rsid w:val="105A802B"/>
    <w:rsid w:val="106CB9CE"/>
    <w:rsid w:val="1078CDD9"/>
    <w:rsid w:val="1086CC22"/>
    <w:rsid w:val="1089757A"/>
    <w:rsid w:val="10920162"/>
    <w:rsid w:val="109761FE"/>
    <w:rsid w:val="109A544C"/>
    <w:rsid w:val="109B3883"/>
    <w:rsid w:val="10A91CC7"/>
    <w:rsid w:val="10A9FA0F"/>
    <w:rsid w:val="10AD6157"/>
    <w:rsid w:val="10C22E16"/>
    <w:rsid w:val="10C59373"/>
    <w:rsid w:val="10D476F9"/>
    <w:rsid w:val="10EE929E"/>
    <w:rsid w:val="10F8C839"/>
    <w:rsid w:val="10FCE7E1"/>
    <w:rsid w:val="110095B8"/>
    <w:rsid w:val="110BBE5B"/>
    <w:rsid w:val="1110A2EE"/>
    <w:rsid w:val="111AD2EC"/>
    <w:rsid w:val="111ED8B2"/>
    <w:rsid w:val="11244D25"/>
    <w:rsid w:val="112CFBB8"/>
    <w:rsid w:val="1138C8AE"/>
    <w:rsid w:val="113D0C4C"/>
    <w:rsid w:val="1141CEFA"/>
    <w:rsid w:val="116BBA7D"/>
    <w:rsid w:val="11785295"/>
    <w:rsid w:val="117B03F7"/>
    <w:rsid w:val="119EEABA"/>
    <w:rsid w:val="11D2ADDD"/>
    <w:rsid w:val="11D5D1F9"/>
    <w:rsid w:val="11EA2468"/>
    <w:rsid w:val="11F34A2E"/>
    <w:rsid w:val="11F8F5A5"/>
    <w:rsid w:val="11F912A4"/>
    <w:rsid w:val="11FAA8D3"/>
    <w:rsid w:val="120F81E2"/>
    <w:rsid w:val="12265BD9"/>
    <w:rsid w:val="12329038"/>
    <w:rsid w:val="123E0289"/>
    <w:rsid w:val="124BD023"/>
    <w:rsid w:val="1261A22B"/>
    <w:rsid w:val="12704EF4"/>
    <w:rsid w:val="127152EF"/>
    <w:rsid w:val="1283DAA5"/>
    <w:rsid w:val="1291E72C"/>
    <w:rsid w:val="129583CD"/>
    <w:rsid w:val="129BB849"/>
    <w:rsid w:val="129FC10D"/>
    <w:rsid w:val="12A17E19"/>
    <w:rsid w:val="12A3A476"/>
    <w:rsid w:val="12BB3E91"/>
    <w:rsid w:val="12DE5842"/>
    <w:rsid w:val="1310B5C8"/>
    <w:rsid w:val="131A8644"/>
    <w:rsid w:val="131F4E89"/>
    <w:rsid w:val="133CD4D7"/>
    <w:rsid w:val="13512B15"/>
    <w:rsid w:val="135CD099"/>
    <w:rsid w:val="138E06D0"/>
    <w:rsid w:val="13C3BEBA"/>
    <w:rsid w:val="13D73B7E"/>
    <w:rsid w:val="13DD50AA"/>
    <w:rsid w:val="13F9EF0D"/>
    <w:rsid w:val="13FA2275"/>
    <w:rsid w:val="14061510"/>
    <w:rsid w:val="14267B05"/>
    <w:rsid w:val="144374C5"/>
    <w:rsid w:val="145BA272"/>
    <w:rsid w:val="147BA424"/>
    <w:rsid w:val="148052DC"/>
    <w:rsid w:val="148C5276"/>
    <w:rsid w:val="149520E2"/>
    <w:rsid w:val="14952725"/>
    <w:rsid w:val="14B16491"/>
    <w:rsid w:val="14B5EF2D"/>
    <w:rsid w:val="14C5B77F"/>
    <w:rsid w:val="14C9C0B6"/>
    <w:rsid w:val="14D1FFFE"/>
    <w:rsid w:val="14D44193"/>
    <w:rsid w:val="14D52B86"/>
    <w:rsid w:val="14DEB4AB"/>
    <w:rsid w:val="14E9050E"/>
    <w:rsid w:val="14EFCDCC"/>
    <w:rsid w:val="14F11AB7"/>
    <w:rsid w:val="14F8EC51"/>
    <w:rsid w:val="150EAC82"/>
    <w:rsid w:val="1514493A"/>
    <w:rsid w:val="15201F32"/>
    <w:rsid w:val="152DD479"/>
    <w:rsid w:val="15393815"/>
    <w:rsid w:val="1543944F"/>
    <w:rsid w:val="154F9D3F"/>
    <w:rsid w:val="156267E9"/>
    <w:rsid w:val="15737F46"/>
    <w:rsid w:val="1582A228"/>
    <w:rsid w:val="15836E2A"/>
    <w:rsid w:val="15853219"/>
    <w:rsid w:val="158BF47E"/>
    <w:rsid w:val="159191BE"/>
    <w:rsid w:val="159C0D3C"/>
    <w:rsid w:val="159E4ACE"/>
    <w:rsid w:val="15CD9D3F"/>
    <w:rsid w:val="15CF2A14"/>
    <w:rsid w:val="15D6AB7B"/>
    <w:rsid w:val="15DA9586"/>
    <w:rsid w:val="15DB953A"/>
    <w:rsid w:val="15E7BECF"/>
    <w:rsid w:val="15EBB8B4"/>
    <w:rsid w:val="16044940"/>
    <w:rsid w:val="160504BA"/>
    <w:rsid w:val="160737A5"/>
    <w:rsid w:val="16088816"/>
    <w:rsid w:val="1619DE36"/>
    <w:rsid w:val="162190B3"/>
    <w:rsid w:val="1627BD78"/>
    <w:rsid w:val="162F5D38"/>
    <w:rsid w:val="1649ECCF"/>
    <w:rsid w:val="164C2DBD"/>
    <w:rsid w:val="1657700B"/>
    <w:rsid w:val="167A8500"/>
    <w:rsid w:val="169429C8"/>
    <w:rsid w:val="16D1B8E9"/>
    <w:rsid w:val="16EC326E"/>
    <w:rsid w:val="1701BE5B"/>
    <w:rsid w:val="1704E606"/>
    <w:rsid w:val="1707AB33"/>
    <w:rsid w:val="1710A508"/>
    <w:rsid w:val="1738A44F"/>
    <w:rsid w:val="173BEDE5"/>
    <w:rsid w:val="173D94FB"/>
    <w:rsid w:val="174356C2"/>
    <w:rsid w:val="175136F6"/>
    <w:rsid w:val="17544D7E"/>
    <w:rsid w:val="17560A71"/>
    <w:rsid w:val="1772E844"/>
    <w:rsid w:val="1775DF61"/>
    <w:rsid w:val="178AB2C8"/>
    <w:rsid w:val="17950CB1"/>
    <w:rsid w:val="179F8E58"/>
    <w:rsid w:val="17A0D51B"/>
    <w:rsid w:val="17A7349E"/>
    <w:rsid w:val="17C6EBCB"/>
    <w:rsid w:val="17C6F6EF"/>
    <w:rsid w:val="17D55DF5"/>
    <w:rsid w:val="17DD1C78"/>
    <w:rsid w:val="17E17EF0"/>
    <w:rsid w:val="17EE4FBE"/>
    <w:rsid w:val="17F77B01"/>
    <w:rsid w:val="180E600C"/>
    <w:rsid w:val="1825A896"/>
    <w:rsid w:val="1830101C"/>
    <w:rsid w:val="183E2AE4"/>
    <w:rsid w:val="1845F30D"/>
    <w:rsid w:val="185E8865"/>
    <w:rsid w:val="1863BCB9"/>
    <w:rsid w:val="18683EAF"/>
    <w:rsid w:val="1868600F"/>
    <w:rsid w:val="18715288"/>
    <w:rsid w:val="18761846"/>
    <w:rsid w:val="1878EBE9"/>
    <w:rsid w:val="188A215C"/>
    <w:rsid w:val="189079CA"/>
    <w:rsid w:val="1891F01A"/>
    <w:rsid w:val="189A1C19"/>
    <w:rsid w:val="18C3532E"/>
    <w:rsid w:val="18C52DE6"/>
    <w:rsid w:val="18CD4921"/>
    <w:rsid w:val="19266E80"/>
    <w:rsid w:val="193F00F9"/>
    <w:rsid w:val="19424A50"/>
    <w:rsid w:val="194CDB6A"/>
    <w:rsid w:val="19538908"/>
    <w:rsid w:val="196D7C26"/>
    <w:rsid w:val="197E222D"/>
    <w:rsid w:val="1982BF48"/>
    <w:rsid w:val="19A7DE6C"/>
    <w:rsid w:val="19B71621"/>
    <w:rsid w:val="19C472F4"/>
    <w:rsid w:val="19C5D592"/>
    <w:rsid w:val="19F49D34"/>
    <w:rsid w:val="1A015C57"/>
    <w:rsid w:val="1A129400"/>
    <w:rsid w:val="1A46A18E"/>
    <w:rsid w:val="1A4EFDE2"/>
    <w:rsid w:val="1A5853D7"/>
    <w:rsid w:val="1A6742E7"/>
    <w:rsid w:val="1A772E43"/>
    <w:rsid w:val="1A7C1221"/>
    <w:rsid w:val="1A824F5C"/>
    <w:rsid w:val="1A915BF1"/>
    <w:rsid w:val="1A9453E3"/>
    <w:rsid w:val="1A9F72C0"/>
    <w:rsid w:val="1AAA0070"/>
    <w:rsid w:val="1ABDD5A8"/>
    <w:rsid w:val="1ACBBCFD"/>
    <w:rsid w:val="1ACF267A"/>
    <w:rsid w:val="1AD435BF"/>
    <w:rsid w:val="1AD58714"/>
    <w:rsid w:val="1AF9676D"/>
    <w:rsid w:val="1AFE5F97"/>
    <w:rsid w:val="1B34DE3A"/>
    <w:rsid w:val="1B422059"/>
    <w:rsid w:val="1B4C3B97"/>
    <w:rsid w:val="1B4FEDD2"/>
    <w:rsid w:val="1B663D5C"/>
    <w:rsid w:val="1B8F9A28"/>
    <w:rsid w:val="1BA47ADA"/>
    <w:rsid w:val="1BA9CF53"/>
    <w:rsid w:val="1BBED9BC"/>
    <w:rsid w:val="1BC41C99"/>
    <w:rsid w:val="1BDEABC7"/>
    <w:rsid w:val="1BE8D108"/>
    <w:rsid w:val="1BF5B6AE"/>
    <w:rsid w:val="1C03CCA6"/>
    <w:rsid w:val="1C194D57"/>
    <w:rsid w:val="1C1A2241"/>
    <w:rsid w:val="1C1F70AA"/>
    <w:rsid w:val="1C5EDA3B"/>
    <w:rsid w:val="1C8D012A"/>
    <w:rsid w:val="1CB1481D"/>
    <w:rsid w:val="1CB6CF9B"/>
    <w:rsid w:val="1CBE4CEC"/>
    <w:rsid w:val="1CC6AC7E"/>
    <w:rsid w:val="1CCB9EC4"/>
    <w:rsid w:val="1CD3DE14"/>
    <w:rsid w:val="1CE3E64A"/>
    <w:rsid w:val="1CEB6F97"/>
    <w:rsid w:val="1D0422BD"/>
    <w:rsid w:val="1D069A11"/>
    <w:rsid w:val="1D0768E2"/>
    <w:rsid w:val="1D22EF8B"/>
    <w:rsid w:val="1D415AC3"/>
    <w:rsid w:val="1D593143"/>
    <w:rsid w:val="1D5A3A7F"/>
    <w:rsid w:val="1D77EEBC"/>
    <w:rsid w:val="1D89B9C5"/>
    <w:rsid w:val="1D8B58A1"/>
    <w:rsid w:val="1D9470C6"/>
    <w:rsid w:val="1DA17B0C"/>
    <w:rsid w:val="1DA32788"/>
    <w:rsid w:val="1DB07F53"/>
    <w:rsid w:val="1DBABFE3"/>
    <w:rsid w:val="1DBB6593"/>
    <w:rsid w:val="1DBC3726"/>
    <w:rsid w:val="1DC4FE96"/>
    <w:rsid w:val="1DCD8354"/>
    <w:rsid w:val="1DD3E831"/>
    <w:rsid w:val="1DE370AC"/>
    <w:rsid w:val="1DF78BBE"/>
    <w:rsid w:val="1DFBC76D"/>
    <w:rsid w:val="1E12B0A1"/>
    <w:rsid w:val="1E37D3BB"/>
    <w:rsid w:val="1E3AFD1B"/>
    <w:rsid w:val="1E5997BF"/>
    <w:rsid w:val="1E5C5AD2"/>
    <w:rsid w:val="1E636503"/>
    <w:rsid w:val="1E653049"/>
    <w:rsid w:val="1E658256"/>
    <w:rsid w:val="1E664A76"/>
    <w:rsid w:val="1EB67D14"/>
    <w:rsid w:val="1EB6924A"/>
    <w:rsid w:val="1EC85DCC"/>
    <w:rsid w:val="1F0D453C"/>
    <w:rsid w:val="1F19AD84"/>
    <w:rsid w:val="1F2CBFF8"/>
    <w:rsid w:val="1F64FE39"/>
    <w:rsid w:val="1F6C5425"/>
    <w:rsid w:val="1F6D3842"/>
    <w:rsid w:val="1F6F06D5"/>
    <w:rsid w:val="1F831D87"/>
    <w:rsid w:val="1F90FECA"/>
    <w:rsid w:val="1F9A14B1"/>
    <w:rsid w:val="1FADC268"/>
    <w:rsid w:val="1FCEFEBE"/>
    <w:rsid w:val="1FDCCBD1"/>
    <w:rsid w:val="1FEF0D8F"/>
    <w:rsid w:val="203A5CB4"/>
    <w:rsid w:val="203B44BE"/>
    <w:rsid w:val="20493CC9"/>
    <w:rsid w:val="204975CA"/>
    <w:rsid w:val="2056B3DD"/>
    <w:rsid w:val="2058B863"/>
    <w:rsid w:val="207B33D2"/>
    <w:rsid w:val="207F60D9"/>
    <w:rsid w:val="20949C54"/>
    <w:rsid w:val="20AD190D"/>
    <w:rsid w:val="20ADF172"/>
    <w:rsid w:val="20B26CE2"/>
    <w:rsid w:val="20C61732"/>
    <w:rsid w:val="20D9D0D9"/>
    <w:rsid w:val="20E69849"/>
    <w:rsid w:val="20F9B4B1"/>
    <w:rsid w:val="2115956B"/>
    <w:rsid w:val="211B7002"/>
    <w:rsid w:val="21247B28"/>
    <w:rsid w:val="21268182"/>
    <w:rsid w:val="213FECFA"/>
    <w:rsid w:val="2147B761"/>
    <w:rsid w:val="215254F2"/>
    <w:rsid w:val="21606E0E"/>
    <w:rsid w:val="2169B493"/>
    <w:rsid w:val="216EBE0E"/>
    <w:rsid w:val="218668B8"/>
    <w:rsid w:val="2187D0C7"/>
    <w:rsid w:val="21A01A68"/>
    <w:rsid w:val="21A4F902"/>
    <w:rsid w:val="21AE0750"/>
    <w:rsid w:val="21AF6781"/>
    <w:rsid w:val="21B27209"/>
    <w:rsid w:val="21B3D5EA"/>
    <w:rsid w:val="21CC41EE"/>
    <w:rsid w:val="21DE505E"/>
    <w:rsid w:val="21E08A6E"/>
    <w:rsid w:val="21FF78BF"/>
    <w:rsid w:val="2206359C"/>
    <w:rsid w:val="22174388"/>
    <w:rsid w:val="2232CACD"/>
    <w:rsid w:val="22379609"/>
    <w:rsid w:val="223B46BD"/>
    <w:rsid w:val="22433A81"/>
    <w:rsid w:val="224F2623"/>
    <w:rsid w:val="2253CB0B"/>
    <w:rsid w:val="225613A3"/>
    <w:rsid w:val="22596B87"/>
    <w:rsid w:val="226D329B"/>
    <w:rsid w:val="2273EFDC"/>
    <w:rsid w:val="2277994B"/>
    <w:rsid w:val="22827763"/>
    <w:rsid w:val="229F8B8A"/>
    <w:rsid w:val="22BBC203"/>
    <w:rsid w:val="22EF1C43"/>
    <w:rsid w:val="22FAEC57"/>
    <w:rsid w:val="22FBC9D5"/>
    <w:rsid w:val="230872C6"/>
    <w:rsid w:val="232FDCF4"/>
    <w:rsid w:val="23386448"/>
    <w:rsid w:val="2355B6E0"/>
    <w:rsid w:val="23730E5F"/>
    <w:rsid w:val="237F467A"/>
    <w:rsid w:val="2394ECAC"/>
    <w:rsid w:val="239BFB9D"/>
    <w:rsid w:val="23A3F6CF"/>
    <w:rsid w:val="23A49C69"/>
    <w:rsid w:val="23D37E1C"/>
    <w:rsid w:val="23F20F5C"/>
    <w:rsid w:val="24114732"/>
    <w:rsid w:val="2413BE81"/>
    <w:rsid w:val="24151C98"/>
    <w:rsid w:val="242A4913"/>
    <w:rsid w:val="243040D0"/>
    <w:rsid w:val="24528F8F"/>
    <w:rsid w:val="245974F7"/>
    <w:rsid w:val="245EF621"/>
    <w:rsid w:val="24686356"/>
    <w:rsid w:val="246F4D3A"/>
    <w:rsid w:val="2473623A"/>
    <w:rsid w:val="2484A546"/>
    <w:rsid w:val="249CB469"/>
    <w:rsid w:val="24C63884"/>
    <w:rsid w:val="24C9A227"/>
    <w:rsid w:val="24D4955F"/>
    <w:rsid w:val="24E172CF"/>
    <w:rsid w:val="24E946E4"/>
    <w:rsid w:val="24EF469B"/>
    <w:rsid w:val="24F3B6B5"/>
    <w:rsid w:val="2509C879"/>
    <w:rsid w:val="2516AF15"/>
    <w:rsid w:val="25269481"/>
    <w:rsid w:val="254BB754"/>
    <w:rsid w:val="254CF789"/>
    <w:rsid w:val="254EAD1D"/>
    <w:rsid w:val="257F10DC"/>
    <w:rsid w:val="25816295"/>
    <w:rsid w:val="258B23FC"/>
    <w:rsid w:val="25A18235"/>
    <w:rsid w:val="25B965B8"/>
    <w:rsid w:val="25BB27A2"/>
    <w:rsid w:val="25BC5728"/>
    <w:rsid w:val="25FAB118"/>
    <w:rsid w:val="26008FAF"/>
    <w:rsid w:val="2611A8DE"/>
    <w:rsid w:val="261724C7"/>
    <w:rsid w:val="2624EA62"/>
    <w:rsid w:val="263ABA87"/>
    <w:rsid w:val="26504E51"/>
    <w:rsid w:val="2666E984"/>
    <w:rsid w:val="266B61FE"/>
    <w:rsid w:val="2686093E"/>
    <w:rsid w:val="2689F4FE"/>
    <w:rsid w:val="268E4DE5"/>
    <w:rsid w:val="269AD211"/>
    <w:rsid w:val="26AEDA07"/>
    <w:rsid w:val="26B7651C"/>
    <w:rsid w:val="26C8E316"/>
    <w:rsid w:val="26C98FB8"/>
    <w:rsid w:val="26CBF4A4"/>
    <w:rsid w:val="26D17F95"/>
    <w:rsid w:val="26E0CA8B"/>
    <w:rsid w:val="26FD70D4"/>
    <w:rsid w:val="27047795"/>
    <w:rsid w:val="270DC5E2"/>
    <w:rsid w:val="27277182"/>
    <w:rsid w:val="272BB350"/>
    <w:rsid w:val="273652A5"/>
    <w:rsid w:val="27444198"/>
    <w:rsid w:val="2758B907"/>
    <w:rsid w:val="276B769D"/>
    <w:rsid w:val="27715ACC"/>
    <w:rsid w:val="2775C6B6"/>
    <w:rsid w:val="278CD102"/>
    <w:rsid w:val="279318E3"/>
    <w:rsid w:val="279F73DE"/>
    <w:rsid w:val="27A1F3A0"/>
    <w:rsid w:val="27B2FBAF"/>
    <w:rsid w:val="27BDC00D"/>
    <w:rsid w:val="27C1A028"/>
    <w:rsid w:val="27CB62EA"/>
    <w:rsid w:val="27EA8B5C"/>
    <w:rsid w:val="27FFB00B"/>
    <w:rsid w:val="280FAAFD"/>
    <w:rsid w:val="28164D8C"/>
    <w:rsid w:val="282CBC28"/>
    <w:rsid w:val="28684B10"/>
    <w:rsid w:val="286A85B2"/>
    <w:rsid w:val="2871434D"/>
    <w:rsid w:val="2878B31A"/>
    <w:rsid w:val="287ABE66"/>
    <w:rsid w:val="28B46FA0"/>
    <w:rsid w:val="28B8DE30"/>
    <w:rsid w:val="28BA87F4"/>
    <w:rsid w:val="28CB44CE"/>
    <w:rsid w:val="28CD9525"/>
    <w:rsid w:val="28D922F7"/>
    <w:rsid w:val="28D93330"/>
    <w:rsid w:val="28ECD59C"/>
    <w:rsid w:val="28EFC846"/>
    <w:rsid w:val="28F2AD3E"/>
    <w:rsid w:val="290117A5"/>
    <w:rsid w:val="2901F9E9"/>
    <w:rsid w:val="2904D900"/>
    <w:rsid w:val="292B6332"/>
    <w:rsid w:val="2931881C"/>
    <w:rsid w:val="29426CB2"/>
    <w:rsid w:val="294FD9F2"/>
    <w:rsid w:val="2955B2A7"/>
    <w:rsid w:val="2990E4B9"/>
    <w:rsid w:val="29970FB7"/>
    <w:rsid w:val="29B0CEAB"/>
    <w:rsid w:val="29B2C948"/>
    <w:rsid w:val="29C4CCE9"/>
    <w:rsid w:val="29C78547"/>
    <w:rsid w:val="29D04A07"/>
    <w:rsid w:val="29E31699"/>
    <w:rsid w:val="29E7A474"/>
    <w:rsid w:val="29E8D517"/>
    <w:rsid w:val="29ED129C"/>
    <w:rsid w:val="2A1E16FE"/>
    <w:rsid w:val="2A214871"/>
    <w:rsid w:val="2A24E5DD"/>
    <w:rsid w:val="2A4BECAB"/>
    <w:rsid w:val="2A69DEF9"/>
    <w:rsid w:val="2A6B5B08"/>
    <w:rsid w:val="2A800F61"/>
    <w:rsid w:val="2A84C6A1"/>
    <w:rsid w:val="2AD14CFD"/>
    <w:rsid w:val="2ADE9D13"/>
    <w:rsid w:val="2ADEAFB6"/>
    <w:rsid w:val="2AE08C18"/>
    <w:rsid w:val="2AE2747C"/>
    <w:rsid w:val="2AF349D7"/>
    <w:rsid w:val="2AFCA4F9"/>
    <w:rsid w:val="2B1175FC"/>
    <w:rsid w:val="2B1C4879"/>
    <w:rsid w:val="2B7F4FEF"/>
    <w:rsid w:val="2B80211C"/>
    <w:rsid w:val="2BA2D91B"/>
    <w:rsid w:val="2BACF870"/>
    <w:rsid w:val="2BAD2CCB"/>
    <w:rsid w:val="2BC64075"/>
    <w:rsid w:val="2BD06954"/>
    <w:rsid w:val="2BDFE21F"/>
    <w:rsid w:val="2C258949"/>
    <w:rsid w:val="2C37D390"/>
    <w:rsid w:val="2C3F112E"/>
    <w:rsid w:val="2C578865"/>
    <w:rsid w:val="2C584744"/>
    <w:rsid w:val="2C84B811"/>
    <w:rsid w:val="2C8D9912"/>
    <w:rsid w:val="2C948A79"/>
    <w:rsid w:val="2CA76F2F"/>
    <w:rsid w:val="2CAD465D"/>
    <w:rsid w:val="2CAEE387"/>
    <w:rsid w:val="2CC92E5A"/>
    <w:rsid w:val="2CC996B1"/>
    <w:rsid w:val="2CCAF4D1"/>
    <w:rsid w:val="2CEA46F7"/>
    <w:rsid w:val="2CFA1CE3"/>
    <w:rsid w:val="2D03C7B0"/>
    <w:rsid w:val="2D05E123"/>
    <w:rsid w:val="2D250673"/>
    <w:rsid w:val="2D3CBCC7"/>
    <w:rsid w:val="2D536B3A"/>
    <w:rsid w:val="2D63B904"/>
    <w:rsid w:val="2D6FFA4A"/>
    <w:rsid w:val="2D7E53DD"/>
    <w:rsid w:val="2D81F0AA"/>
    <w:rsid w:val="2D9195D1"/>
    <w:rsid w:val="2D9A5DE7"/>
    <w:rsid w:val="2DA0ED3E"/>
    <w:rsid w:val="2DAA86B6"/>
    <w:rsid w:val="2DAE0E5F"/>
    <w:rsid w:val="2DD3ABFB"/>
    <w:rsid w:val="2E17B310"/>
    <w:rsid w:val="2E1DA5EC"/>
    <w:rsid w:val="2E1DE640"/>
    <w:rsid w:val="2E258442"/>
    <w:rsid w:val="2E3B34F6"/>
    <w:rsid w:val="2E3B3EAC"/>
    <w:rsid w:val="2E407E02"/>
    <w:rsid w:val="2E44D1C9"/>
    <w:rsid w:val="2E487490"/>
    <w:rsid w:val="2E4AF1E6"/>
    <w:rsid w:val="2E4EE85C"/>
    <w:rsid w:val="2E55E50B"/>
    <w:rsid w:val="2E58F925"/>
    <w:rsid w:val="2E77B5D3"/>
    <w:rsid w:val="2E9B7EA1"/>
    <w:rsid w:val="2EA6F01A"/>
    <w:rsid w:val="2EAB40CB"/>
    <w:rsid w:val="2EB32DCB"/>
    <w:rsid w:val="2EBF83B8"/>
    <w:rsid w:val="2ED23FA1"/>
    <w:rsid w:val="2ED96467"/>
    <w:rsid w:val="2EEB5233"/>
    <w:rsid w:val="2F130076"/>
    <w:rsid w:val="2F2A4512"/>
    <w:rsid w:val="2F3CAFD9"/>
    <w:rsid w:val="2F4EA4E6"/>
    <w:rsid w:val="2F5083D4"/>
    <w:rsid w:val="2F5BB7CA"/>
    <w:rsid w:val="2F7793A6"/>
    <w:rsid w:val="2F7BDD1C"/>
    <w:rsid w:val="2F914C81"/>
    <w:rsid w:val="2FB0C460"/>
    <w:rsid w:val="2FCA9469"/>
    <w:rsid w:val="2FD1A551"/>
    <w:rsid w:val="2FDEB470"/>
    <w:rsid w:val="2FEF4D3D"/>
    <w:rsid w:val="30159051"/>
    <w:rsid w:val="3031E5A7"/>
    <w:rsid w:val="3031FE33"/>
    <w:rsid w:val="3041B441"/>
    <w:rsid w:val="305079BB"/>
    <w:rsid w:val="3056FAF6"/>
    <w:rsid w:val="3057C7A8"/>
    <w:rsid w:val="308041BC"/>
    <w:rsid w:val="3098A69B"/>
    <w:rsid w:val="309E4192"/>
    <w:rsid w:val="30A10F46"/>
    <w:rsid w:val="30A726E7"/>
    <w:rsid w:val="30AB243F"/>
    <w:rsid w:val="30AD2A02"/>
    <w:rsid w:val="30AFA7C9"/>
    <w:rsid w:val="30BAF343"/>
    <w:rsid w:val="30CF2E0A"/>
    <w:rsid w:val="31018BC2"/>
    <w:rsid w:val="311E9A2C"/>
    <w:rsid w:val="3133D424"/>
    <w:rsid w:val="31381112"/>
    <w:rsid w:val="31428DB9"/>
    <w:rsid w:val="3164246D"/>
    <w:rsid w:val="316E964E"/>
    <w:rsid w:val="317C073C"/>
    <w:rsid w:val="317C2F40"/>
    <w:rsid w:val="318A99DC"/>
    <w:rsid w:val="31B51368"/>
    <w:rsid w:val="31B6E248"/>
    <w:rsid w:val="31B9F77E"/>
    <w:rsid w:val="31BDF34A"/>
    <w:rsid w:val="31C2FB0F"/>
    <w:rsid w:val="31D3A606"/>
    <w:rsid w:val="31D99427"/>
    <w:rsid w:val="31EA2C29"/>
    <w:rsid w:val="3231A827"/>
    <w:rsid w:val="3236CF09"/>
    <w:rsid w:val="32654CBE"/>
    <w:rsid w:val="326CCF6B"/>
    <w:rsid w:val="327FD728"/>
    <w:rsid w:val="32800D53"/>
    <w:rsid w:val="328E6A55"/>
    <w:rsid w:val="32B32D87"/>
    <w:rsid w:val="32BD0F49"/>
    <w:rsid w:val="32D7AFD7"/>
    <w:rsid w:val="32D7D8DC"/>
    <w:rsid w:val="33099057"/>
    <w:rsid w:val="330B28AD"/>
    <w:rsid w:val="331E206D"/>
    <w:rsid w:val="3320C40F"/>
    <w:rsid w:val="333A28BD"/>
    <w:rsid w:val="333FF1C2"/>
    <w:rsid w:val="335BA569"/>
    <w:rsid w:val="336CCE27"/>
    <w:rsid w:val="336F7C0D"/>
    <w:rsid w:val="33875AF4"/>
    <w:rsid w:val="338EED97"/>
    <w:rsid w:val="339051D2"/>
    <w:rsid w:val="339261C2"/>
    <w:rsid w:val="339C78E7"/>
    <w:rsid w:val="339D05AA"/>
    <w:rsid w:val="33C273D3"/>
    <w:rsid w:val="33CB0D60"/>
    <w:rsid w:val="33F4A26E"/>
    <w:rsid w:val="3401AE4F"/>
    <w:rsid w:val="340DF64D"/>
    <w:rsid w:val="341687B6"/>
    <w:rsid w:val="3419727A"/>
    <w:rsid w:val="3429E8C3"/>
    <w:rsid w:val="34313EF3"/>
    <w:rsid w:val="3437B883"/>
    <w:rsid w:val="343BD900"/>
    <w:rsid w:val="343DFC0D"/>
    <w:rsid w:val="34560142"/>
    <w:rsid w:val="345DD462"/>
    <w:rsid w:val="3488AAFC"/>
    <w:rsid w:val="348A729B"/>
    <w:rsid w:val="3491934D"/>
    <w:rsid w:val="3492BB66"/>
    <w:rsid w:val="34944B95"/>
    <w:rsid w:val="349B78E6"/>
    <w:rsid w:val="34B258BE"/>
    <w:rsid w:val="34C9B4A4"/>
    <w:rsid w:val="34EC0416"/>
    <w:rsid w:val="34F7785B"/>
    <w:rsid w:val="34F79B1D"/>
    <w:rsid w:val="34FAE9A0"/>
    <w:rsid w:val="351C370A"/>
    <w:rsid w:val="35207384"/>
    <w:rsid w:val="3546B596"/>
    <w:rsid w:val="3548D5FF"/>
    <w:rsid w:val="354F98D3"/>
    <w:rsid w:val="355E4434"/>
    <w:rsid w:val="357E78BC"/>
    <w:rsid w:val="3586C2F2"/>
    <w:rsid w:val="35920AA7"/>
    <w:rsid w:val="359B70BC"/>
    <w:rsid w:val="35A42925"/>
    <w:rsid w:val="35BD51F8"/>
    <w:rsid w:val="35D5D184"/>
    <w:rsid w:val="35DFB318"/>
    <w:rsid w:val="35E58C00"/>
    <w:rsid w:val="35F03154"/>
    <w:rsid w:val="35F473F5"/>
    <w:rsid w:val="36020188"/>
    <w:rsid w:val="360D6C4C"/>
    <w:rsid w:val="36167803"/>
    <w:rsid w:val="3620DB0F"/>
    <w:rsid w:val="362B9109"/>
    <w:rsid w:val="36333F72"/>
    <w:rsid w:val="363F7E64"/>
    <w:rsid w:val="36441FAF"/>
    <w:rsid w:val="36456DA6"/>
    <w:rsid w:val="3654D087"/>
    <w:rsid w:val="36603D5D"/>
    <w:rsid w:val="367CBF30"/>
    <w:rsid w:val="368A16FA"/>
    <w:rsid w:val="368B8261"/>
    <w:rsid w:val="36AF8328"/>
    <w:rsid w:val="36CA3762"/>
    <w:rsid w:val="36CB64C5"/>
    <w:rsid w:val="36DD5154"/>
    <w:rsid w:val="36E30795"/>
    <w:rsid w:val="36E4EB62"/>
    <w:rsid w:val="36FCC6A0"/>
    <w:rsid w:val="36FCD6E8"/>
    <w:rsid w:val="3701B395"/>
    <w:rsid w:val="371E837C"/>
    <w:rsid w:val="3746DC4F"/>
    <w:rsid w:val="3768C74A"/>
    <w:rsid w:val="37729367"/>
    <w:rsid w:val="3783E157"/>
    <w:rsid w:val="37844F30"/>
    <w:rsid w:val="378BB25A"/>
    <w:rsid w:val="37911BF0"/>
    <w:rsid w:val="37951108"/>
    <w:rsid w:val="379EC094"/>
    <w:rsid w:val="37A5F6C3"/>
    <w:rsid w:val="37A70954"/>
    <w:rsid w:val="37B8B847"/>
    <w:rsid w:val="37BBD334"/>
    <w:rsid w:val="37C99300"/>
    <w:rsid w:val="37CDBA2B"/>
    <w:rsid w:val="37D45948"/>
    <w:rsid w:val="381A47C9"/>
    <w:rsid w:val="3831621E"/>
    <w:rsid w:val="384E1EAF"/>
    <w:rsid w:val="3868B395"/>
    <w:rsid w:val="386D559B"/>
    <w:rsid w:val="3878EF80"/>
    <w:rsid w:val="38940027"/>
    <w:rsid w:val="38BBBE66"/>
    <w:rsid w:val="38DD4BEB"/>
    <w:rsid w:val="38E9CBB1"/>
    <w:rsid w:val="38F612C1"/>
    <w:rsid w:val="39057AD6"/>
    <w:rsid w:val="390D2EDD"/>
    <w:rsid w:val="3923B698"/>
    <w:rsid w:val="39247DE7"/>
    <w:rsid w:val="393CB24B"/>
    <w:rsid w:val="394E665A"/>
    <w:rsid w:val="39527FC5"/>
    <w:rsid w:val="3970EB48"/>
    <w:rsid w:val="397B1D81"/>
    <w:rsid w:val="397DDDC3"/>
    <w:rsid w:val="39821D49"/>
    <w:rsid w:val="3986D284"/>
    <w:rsid w:val="398ADE46"/>
    <w:rsid w:val="39AAE5C6"/>
    <w:rsid w:val="39C58360"/>
    <w:rsid w:val="39DE8231"/>
    <w:rsid w:val="39E567CF"/>
    <w:rsid w:val="39E56975"/>
    <w:rsid w:val="39FF5FCA"/>
    <w:rsid w:val="3A039C0E"/>
    <w:rsid w:val="3A053FE0"/>
    <w:rsid w:val="3A0FFB6C"/>
    <w:rsid w:val="3A1AA857"/>
    <w:rsid w:val="3A1C2257"/>
    <w:rsid w:val="3A1F83F5"/>
    <w:rsid w:val="3A1FA7A4"/>
    <w:rsid w:val="3A435E6B"/>
    <w:rsid w:val="3A465D2A"/>
    <w:rsid w:val="3A4EE8A4"/>
    <w:rsid w:val="3A7E4156"/>
    <w:rsid w:val="3A9A75C2"/>
    <w:rsid w:val="3AAF9156"/>
    <w:rsid w:val="3AD3B5F8"/>
    <w:rsid w:val="3AD758E5"/>
    <w:rsid w:val="3AE7AC74"/>
    <w:rsid w:val="3AF03216"/>
    <w:rsid w:val="3AF94AA5"/>
    <w:rsid w:val="3B1B3FB6"/>
    <w:rsid w:val="3B1BF2AF"/>
    <w:rsid w:val="3B274446"/>
    <w:rsid w:val="3B2C4BB0"/>
    <w:rsid w:val="3B346813"/>
    <w:rsid w:val="3B4250D8"/>
    <w:rsid w:val="3B426423"/>
    <w:rsid w:val="3B4D77F5"/>
    <w:rsid w:val="3B4F80EB"/>
    <w:rsid w:val="3B577BB6"/>
    <w:rsid w:val="3B5EF1A7"/>
    <w:rsid w:val="3B6F0B28"/>
    <w:rsid w:val="3B822623"/>
    <w:rsid w:val="3B85AD6E"/>
    <w:rsid w:val="3B8ED556"/>
    <w:rsid w:val="3B924A66"/>
    <w:rsid w:val="3B93C29B"/>
    <w:rsid w:val="3BA092BD"/>
    <w:rsid w:val="3BB805EA"/>
    <w:rsid w:val="3BC2AF91"/>
    <w:rsid w:val="3BCB5F8A"/>
    <w:rsid w:val="3BCD85B8"/>
    <w:rsid w:val="3BE12466"/>
    <w:rsid w:val="3BE8070C"/>
    <w:rsid w:val="3BEA84DA"/>
    <w:rsid w:val="3C0EB569"/>
    <w:rsid w:val="3C3BB51F"/>
    <w:rsid w:val="3C46413F"/>
    <w:rsid w:val="3C511027"/>
    <w:rsid w:val="3C5330E7"/>
    <w:rsid w:val="3C543B80"/>
    <w:rsid w:val="3C59ABF8"/>
    <w:rsid w:val="3C5DE849"/>
    <w:rsid w:val="3C732946"/>
    <w:rsid w:val="3C8A3184"/>
    <w:rsid w:val="3C8DE188"/>
    <w:rsid w:val="3C9DC37C"/>
    <w:rsid w:val="3C9E9D70"/>
    <w:rsid w:val="3CC69CE8"/>
    <w:rsid w:val="3CD03874"/>
    <w:rsid w:val="3CD7D2A4"/>
    <w:rsid w:val="3CDF80C7"/>
    <w:rsid w:val="3CEA1630"/>
    <w:rsid w:val="3CF32F6D"/>
    <w:rsid w:val="3D1FAD77"/>
    <w:rsid w:val="3D26C926"/>
    <w:rsid w:val="3D3D231A"/>
    <w:rsid w:val="3D40748E"/>
    <w:rsid w:val="3D527133"/>
    <w:rsid w:val="3D528BE7"/>
    <w:rsid w:val="3D6483C0"/>
    <w:rsid w:val="3D76FEFF"/>
    <w:rsid w:val="3D7EFAD6"/>
    <w:rsid w:val="3D89C3D7"/>
    <w:rsid w:val="3D9A7990"/>
    <w:rsid w:val="3DAF29AA"/>
    <w:rsid w:val="3DB37445"/>
    <w:rsid w:val="3DBD9CCD"/>
    <w:rsid w:val="3DD68682"/>
    <w:rsid w:val="3DDA6ED0"/>
    <w:rsid w:val="3DEF6A24"/>
    <w:rsid w:val="3DF495CA"/>
    <w:rsid w:val="3E1915A9"/>
    <w:rsid w:val="3E1EE5BC"/>
    <w:rsid w:val="3E2CF0EB"/>
    <w:rsid w:val="3E2FEAB9"/>
    <w:rsid w:val="3E3E996E"/>
    <w:rsid w:val="3E4AAC44"/>
    <w:rsid w:val="3E4E3B1A"/>
    <w:rsid w:val="3E51CD36"/>
    <w:rsid w:val="3E5631DA"/>
    <w:rsid w:val="3E626D49"/>
    <w:rsid w:val="3E700D50"/>
    <w:rsid w:val="3E7338CE"/>
    <w:rsid w:val="3E8CBED0"/>
    <w:rsid w:val="3EADA7CA"/>
    <w:rsid w:val="3EBF0D5C"/>
    <w:rsid w:val="3ECC8F2C"/>
    <w:rsid w:val="3EDC58C6"/>
    <w:rsid w:val="3EDE55AA"/>
    <w:rsid w:val="3EE5DCDB"/>
    <w:rsid w:val="3EFEA6FF"/>
    <w:rsid w:val="3F034F20"/>
    <w:rsid w:val="3F0D9466"/>
    <w:rsid w:val="3F153D93"/>
    <w:rsid w:val="3F16F8C9"/>
    <w:rsid w:val="3F19C6DE"/>
    <w:rsid w:val="3F2605F0"/>
    <w:rsid w:val="3F590DD2"/>
    <w:rsid w:val="3F68E942"/>
    <w:rsid w:val="3F73A73B"/>
    <w:rsid w:val="3F7CC3B6"/>
    <w:rsid w:val="3F822DDE"/>
    <w:rsid w:val="3F966142"/>
    <w:rsid w:val="3FA7C2BB"/>
    <w:rsid w:val="3FAD4A4F"/>
    <w:rsid w:val="3FB69DCA"/>
    <w:rsid w:val="3FD1C3A4"/>
    <w:rsid w:val="3FE290B6"/>
    <w:rsid w:val="3FF4AEE6"/>
    <w:rsid w:val="3FFA3732"/>
    <w:rsid w:val="400A9B81"/>
    <w:rsid w:val="402AB420"/>
    <w:rsid w:val="40468A35"/>
    <w:rsid w:val="4049C0BC"/>
    <w:rsid w:val="406BA298"/>
    <w:rsid w:val="407B5897"/>
    <w:rsid w:val="407F77BD"/>
    <w:rsid w:val="40800162"/>
    <w:rsid w:val="40801D44"/>
    <w:rsid w:val="4080C3BE"/>
    <w:rsid w:val="4088FD84"/>
    <w:rsid w:val="409A27CA"/>
    <w:rsid w:val="409B143B"/>
    <w:rsid w:val="40A2FB9A"/>
    <w:rsid w:val="40AB474A"/>
    <w:rsid w:val="40AE9B45"/>
    <w:rsid w:val="40B2C4AC"/>
    <w:rsid w:val="40C23EE4"/>
    <w:rsid w:val="40C2979F"/>
    <w:rsid w:val="40C8BAA7"/>
    <w:rsid w:val="40D585BC"/>
    <w:rsid w:val="40DA8CF6"/>
    <w:rsid w:val="40EB0A7B"/>
    <w:rsid w:val="40F73536"/>
    <w:rsid w:val="40FDA35B"/>
    <w:rsid w:val="410DAD70"/>
    <w:rsid w:val="4115997B"/>
    <w:rsid w:val="411A3B0A"/>
    <w:rsid w:val="4130E6AA"/>
    <w:rsid w:val="414B19F1"/>
    <w:rsid w:val="414EC3C2"/>
    <w:rsid w:val="41506783"/>
    <w:rsid w:val="415A4922"/>
    <w:rsid w:val="416CBDAA"/>
    <w:rsid w:val="41739028"/>
    <w:rsid w:val="41790EFF"/>
    <w:rsid w:val="417C595A"/>
    <w:rsid w:val="4185DF49"/>
    <w:rsid w:val="419BE26D"/>
    <w:rsid w:val="41CF42CF"/>
    <w:rsid w:val="41D1F200"/>
    <w:rsid w:val="41ECC5EA"/>
    <w:rsid w:val="41EE3F37"/>
    <w:rsid w:val="41EE98DC"/>
    <w:rsid w:val="41EED799"/>
    <w:rsid w:val="41F6493B"/>
    <w:rsid w:val="4208C723"/>
    <w:rsid w:val="420991A6"/>
    <w:rsid w:val="421AE7BE"/>
    <w:rsid w:val="422D5720"/>
    <w:rsid w:val="4247D444"/>
    <w:rsid w:val="424A6BA6"/>
    <w:rsid w:val="4268C65B"/>
    <w:rsid w:val="42754651"/>
    <w:rsid w:val="428B0A29"/>
    <w:rsid w:val="428DF555"/>
    <w:rsid w:val="429B9200"/>
    <w:rsid w:val="42B21895"/>
    <w:rsid w:val="42B66AB6"/>
    <w:rsid w:val="42BD44FD"/>
    <w:rsid w:val="42BDCD5E"/>
    <w:rsid w:val="42D0B74D"/>
    <w:rsid w:val="42D2A921"/>
    <w:rsid w:val="42D6F9D6"/>
    <w:rsid w:val="42D9501F"/>
    <w:rsid w:val="42E31D05"/>
    <w:rsid w:val="42E6EA52"/>
    <w:rsid w:val="42E7BF52"/>
    <w:rsid w:val="430A3F10"/>
    <w:rsid w:val="430FFFC4"/>
    <w:rsid w:val="43216C30"/>
    <w:rsid w:val="4326519B"/>
    <w:rsid w:val="432E326C"/>
    <w:rsid w:val="4334BD24"/>
    <w:rsid w:val="434F5B62"/>
    <w:rsid w:val="435631CD"/>
    <w:rsid w:val="435CD8FD"/>
    <w:rsid w:val="435FF643"/>
    <w:rsid w:val="4360CEDF"/>
    <w:rsid w:val="43648864"/>
    <w:rsid w:val="4366C0F0"/>
    <w:rsid w:val="437CF372"/>
    <w:rsid w:val="438E8BE5"/>
    <w:rsid w:val="4397678C"/>
    <w:rsid w:val="43B1946C"/>
    <w:rsid w:val="43B7283E"/>
    <w:rsid w:val="43C4C5CB"/>
    <w:rsid w:val="43C89C68"/>
    <w:rsid w:val="43CCF4C6"/>
    <w:rsid w:val="43CF063C"/>
    <w:rsid w:val="43D52359"/>
    <w:rsid w:val="43D7F073"/>
    <w:rsid w:val="43E4EB6D"/>
    <w:rsid w:val="43EA69EC"/>
    <w:rsid w:val="43FA0D5C"/>
    <w:rsid w:val="44029D89"/>
    <w:rsid w:val="4407BB9A"/>
    <w:rsid w:val="440B17CA"/>
    <w:rsid w:val="4415C00E"/>
    <w:rsid w:val="4416961D"/>
    <w:rsid w:val="4429C0A2"/>
    <w:rsid w:val="442C7E58"/>
    <w:rsid w:val="44419091"/>
    <w:rsid w:val="4442DAD4"/>
    <w:rsid w:val="4448806E"/>
    <w:rsid w:val="44493289"/>
    <w:rsid w:val="446CB6A1"/>
    <w:rsid w:val="448BCABA"/>
    <w:rsid w:val="448BE016"/>
    <w:rsid w:val="448FAD3B"/>
    <w:rsid w:val="44DFC530"/>
    <w:rsid w:val="44FACC6D"/>
    <w:rsid w:val="44FF3126"/>
    <w:rsid w:val="450B22ED"/>
    <w:rsid w:val="45314C7C"/>
    <w:rsid w:val="4539C4AA"/>
    <w:rsid w:val="453FA65B"/>
    <w:rsid w:val="45448250"/>
    <w:rsid w:val="4554F373"/>
    <w:rsid w:val="455902DA"/>
    <w:rsid w:val="457A1522"/>
    <w:rsid w:val="458120FB"/>
    <w:rsid w:val="459E3252"/>
    <w:rsid w:val="45A39BC1"/>
    <w:rsid w:val="45AE91E1"/>
    <w:rsid w:val="45C0566E"/>
    <w:rsid w:val="45CA7931"/>
    <w:rsid w:val="45D421E8"/>
    <w:rsid w:val="45DBBAF3"/>
    <w:rsid w:val="45E6D968"/>
    <w:rsid w:val="45E90A9E"/>
    <w:rsid w:val="4608580F"/>
    <w:rsid w:val="460AD7E3"/>
    <w:rsid w:val="460D0D00"/>
    <w:rsid w:val="4615E7BD"/>
    <w:rsid w:val="461CC7BB"/>
    <w:rsid w:val="462090EA"/>
    <w:rsid w:val="4630B110"/>
    <w:rsid w:val="463ECFC0"/>
    <w:rsid w:val="464318FD"/>
    <w:rsid w:val="4648DA22"/>
    <w:rsid w:val="4655DCE9"/>
    <w:rsid w:val="4658C761"/>
    <w:rsid w:val="466B3734"/>
    <w:rsid w:val="46760BDB"/>
    <w:rsid w:val="4677036F"/>
    <w:rsid w:val="467AD0DD"/>
    <w:rsid w:val="46905364"/>
    <w:rsid w:val="469A5A0B"/>
    <w:rsid w:val="46BA12EB"/>
    <w:rsid w:val="46C2FA35"/>
    <w:rsid w:val="46D2386B"/>
    <w:rsid w:val="46EF2712"/>
    <w:rsid w:val="471CAD99"/>
    <w:rsid w:val="47231159"/>
    <w:rsid w:val="4729F834"/>
    <w:rsid w:val="473D099F"/>
    <w:rsid w:val="4741A1C8"/>
    <w:rsid w:val="4755254B"/>
    <w:rsid w:val="47864E64"/>
    <w:rsid w:val="4788F180"/>
    <w:rsid w:val="47896BCC"/>
    <w:rsid w:val="47B1ED08"/>
    <w:rsid w:val="47BDA48B"/>
    <w:rsid w:val="47C2C90D"/>
    <w:rsid w:val="47C2E960"/>
    <w:rsid w:val="4806CD52"/>
    <w:rsid w:val="4871E91C"/>
    <w:rsid w:val="488AA10B"/>
    <w:rsid w:val="488E63C2"/>
    <w:rsid w:val="48A044C4"/>
    <w:rsid w:val="48A9A294"/>
    <w:rsid w:val="48BDA06F"/>
    <w:rsid w:val="48C43A07"/>
    <w:rsid w:val="48E64848"/>
    <w:rsid w:val="48FA6BD8"/>
    <w:rsid w:val="48FFEF7B"/>
    <w:rsid w:val="4946EC75"/>
    <w:rsid w:val="49514F13"/>
    <w:rsid w:val="4959178C"/>
    <w:rsid w:val="49631E5E"/>
    <w:rsid w:val="4965EFBC"/>
    <w:rsid w:val="4971050D"/>
    <w:rsid w:val="497ABE24"/>
    <w:rsid w:val="497B3DE2"/>
    <w:rsid w:val="4981AE90"/>
    <w:rsid w:val="4986DC41"/>
    <w:rsid w:val="49922A0B"/>
    <w:rsid w:val="49922DAD"/>
    <w:rsid w:val="49B78783"/>
    <w:rsid w:val="49BC9CDA"/>
    <w:rsid w:val="49C441ED"/>
    <w:rsid w:val="49C767D9"/>
    <w:rsid w:val="49DA5C19"/>
    <w:rsid w:val="49DD11C8"/>
    <w:rsid w:val="49EC1AF1"/>
    <w:rsid w:val="49F6E9A6"/>
    <w:rsid w:val="49FE5F1F"/>
    <w:rsid w:val="4A097B23"/>
    <w:rsid w:val="4A0A4D6E"/>
    <w:rsid w:val="4A1370F1"/>
    <w:rsid w:val="4A16C4EA"/>
    <w:rsid w:val="4A17057B"/>
    <w:rsid w:val="4A239DAA"/>
    <w:rsid w:val="4A376083"/>
    <w:rsid w:val="4A3ABA04"/>
    <w:rsid w:val="4A4B6DDB"/>
    <w:rsid w:val="4A54BFDA"/>
    <w:rsid w:val="4A8AF2BE"/>
    <w:rsid w:val="4A98579C"/>
    <w:rsid w:val="4AA9612A"/>
    <w:rsid w:val="4AAB2BEC"/>
    <w:rsid w:val="4AAFA2B6"/>
    <w:rsid w:val="4ABDC9F7"/>
    <w:rsid w:val="4ACAFC20"/>
    <w:rsid w:val="4ADB3A94"/>
    <w:rsid w:val="4ADD3790"/>
    <w:rsid w:val="4AF56A35"/>
    <w:rsid w:val="4AFAD339"/>
    <w:rsid w:val="4AFFA0A4"/>
    <w:rsid w:val="4B008CC8"/>
    <w:rsid w:val="4B0CD56E"/>
    <w:rsid w:val="4B1F48B0"/>
    <w:rsid w:val="4B2273B7"/>
    <w:rsid w:val="4B596676"/>
    <w:rsid w:val="4B5CAF5C"/>
    <w:rsid w:val="4B675E87"/>
    <w:rsid w:val="4B6E23AD"/>
    <w:rsid w:val="4B97B275"/>
    <w:rsid w:val="4BBDFA32"/>
    <w:rsid w:val="4BBF1CA1"/>
    <w:rsid w:val="4BD4406E"/>
    <w:rsid w:val="4BE32EDD"/>
    <w:rsid w:val="4BFD6957"/>
    <w:rsid w:val="4BFF5ACF"/>
    <w:rsid w:val="4C155A15"/>
    <w:rsid w:val="4C19D2DB"/>
    <w:rsid w:val="4C20E924"/>
    <w:rsid w:val="4C2778C3"/>
    <w:rsid w:val="4C30FBCE"/>
    <w:rsid w:val="4C38DAFE"/>
    <w:rsid w:val="4C5FEC61"/>
    <w:rsid w:val="4C64BC81"/>
    <w:rsid w:val="4C66D0FB"/>
    <w:rsid w:val="4C6A4904"/>
    <w:rsid w:val="4C796CA3"/>
    <w:rsid w:val="4C935B8E"/>
    <w:rsid w:val="4C963C64"/>
    <w:rsid w:val="4C9ABF20"/>
    <w:rsid w:val="4CA770B0"/>
    <w:rsid w:val="4CB2E006"/>
    <w:rsid w:val="4CB72985"/>
    <w:rsid w:val="4CC70705"/>
    <w:rsid w:val="4CCE52FA"/>
    <w:rsid w:val="4CD85208"/>
    <w:rsid w:val="4CDF56E8"/>
    <w:rsid w:val="4CF20230"/>
    <w:rsid w:val="4CF5CF66"/>
    <w:rsid w:val="4CFDE09F"/>
    <w:rsid w:val="4D01FC67"/>
    <w:rsid w:val="4D199B4E"/>
    <w:rsid w:val="4D342464"/>
    <w:rsid w:val="4D351349"/>
    <w:rsid w:val="4D40C5C0"/>
    <w:rsid w:val="4D4B10D7"/>
    <w:rsid w:val="4D54C81E"/>
    <w:rsid w:val="4D573D2A"/>
    <w:rsid w:val="4D6088D2"/>
    <w:rsid w:val="4D86C727"/>
    <w:rsid w:val="4D89FA11"/>
    <w:rsid w:val="4D9939B8"/>
    <w:rsid w:val="4D9E8FF5"/>
    <w:rsid w:val="4DA5C986"/>
    <w:rsid w:val="4DA9E1BE"/>
    <w:rsid w:val="4DB1E166"/>
    <w:rsid w:val="4DBA3E03"/>
    <w:rsid w:val="4DF591A1"/>
    <w:rsid w:val="4E0053CC"/>
    <w:rsid w:val="4E2DE744"/>
    <w:rsid w:val="4E3AC5D6"/>
    <w:rsid w:val="4E5657D3"/>
    <w:rsid w:val="4E6448CD"/>
    <w:rsid w:val="4E6BE6C8"/>
    <w:rsid w:val="4E6DA558"/>
    <w:rsid w:val="4E7B0965"/>
    <w:rsid w:val="4E9340C8"/>
    <w:rsid w:val="4EA0679A"/>
    <w:rsid w:val="4EACBE6F"/>
    <w:rsid w:val="4EBEDE45"/>
    <w:rsid w:val="4ECB2C3A"/>
    <w:rsid w:val="4EDC430E"/>
    <w:rsid w:val="4EE3BD1F"/>
    <w:rsid w:val="4EEA360D"/>
    <w:rsid w:val="4EEB9767"/>
    <w:rsid w:val="4EFBA7CF"/>
    <w:rsid w:val="4EFC341F"/>
    <w:rsid w:val="4F15F8B8"/>
    <w:rsid w:val="4F215239"/>
    <w:rsid w:val="4F2A5C0C"/>
    <w:rsid w:val="4F378D55"/>
    <w:rsid w:val="4F3954D7"/>
    <w:rsid w:val="4F47847C"/>
    <w:rsid w:val="4F4E1057"/>
    <w:rsid w:val="4F59DB44"/>
    <w:rsid w:val="4F689C90"/>
    <w:rsid w:val="4FA0012E"/>
    <w:rsid w:val="4FB0FB17"/>
    <w:rsid w:val="4FCA937B"/>
    <w:rsid w:val="4FCF71DC"/>
    <w:rsid w:val="4FD469E3"/>
    <w:rsid w:val="4FE1DB7C"/>
    <w:rsid w:val="4FEFA7A5"/>
    <w:rsid w:val="4FF14DD0"/>
    <w:rsid w:val="4FF5E4DA"/>
    <w:rsid w:val="4FFD5A57"/>
    <w:rsid w:val="5016D9C6"/>
    <w:rsid w:val="50215DD0"/>
    <w:rsid w:val="50365349"/>
    <w:rsid w:val="5037148B"/>
    <w:rsid w:val="5049CB95"/>
    <w:rsid w:val="504D2ECD"/>
    <w:rsid w:val="504F277F"/>
    <w:rsid w:val="505D8408"/>
    <w:rsid w:val="505EA545"/>
    <w:rsid w:val="5062CA59"/>
    <w:rsid w:val="50686DAE"/>
    <w:rsid w:val="50710422"/>
    <w:rsid w:val="508BB991"/>
    <w:rsid w:val="508FD6B2"/>
    <w:rsid w:val="5098809B"/>
    <w:rsid w:val="509D3FDF"/>
    <w:rsid w:val="509EEB5B"/>
    <w:rsid w:val="50A07DD9"/>
    <w:rsid w:val="50A11CDE"/>
    <w:rsid w:val="50BC0E55"/>
    <w:rsid w:val="50D354C3"/>
    <w:rsid w:val="50F1C5F2"/>
    <w:rsid w:val="510D2998"/>
    <w:rsid w:val="5115C40B"/>
    <w:rsid w:val="512E0152"/>
    <w:rsid w:val="513D1287"/>
    <w:rsid w:val="51492324"/>
    <w:rsid w:val="515017E0"/>
    <w:rsid w:val="515A7F15"/>
    <w:rsid w:val="5170BD4E"/>
    <w:rsid w:val="5179879C"/>
    <w:rsid w:val="51D0DAFC"/>
    <w:rsid w:val="51D7FBB2"/>
    <w:rsid w:val="51DFB18E"/>
    <w:rsid w:val="51DFEF9E"/>
    <w:rsid w:val="51E34F4A"/>
    <w:rsid w:val="51FA4936"/>
    <w:rsid w:val="52150B23"/>
    <w:rsid w:val="521A8D5A"/>
    <w:rsid w:val="522B0CE3"/>
    <w:rsid w:val="522F538D"/>
    <w:rsid w:val="523357E6"/>
    <w:rsid w:val="523758C9"/>
    <w:rsid w:val="525200DF"/>
    <w:rsid w:val="5254084A"/>
    <w:rsid w:val="5255B569"/>
    <w:rsid w:val="526CB3D3"/>
    <w:rsid w:val="527401F3"/>
    <w:rsid w:val="52855289"/>
    <w:rsid w:val="5289F360"/>
    <w:rsid w:val="529467F7"/>
    <w:rsid w:val="529EA0C3"/>
    <w:rsid w:val="52A3FB27"/>
    <w:rsid w:val="52ACC54F"/>
    <w:rsid w:val="52B92F4D"/>
    <w:rsid w:val="52BEB793"/>
    <w:rsid w:val="52BFE57B"/>
    <w:rsid w:val="52CA63FA"/>
    <w:rsid w:val="52D026F5"/>
    <w:rsid w:val="52D25DFA"/>
    <w:rsid w:val="52D7DFF0"/>
    <w:rsid w:val="52DE958C"/>
    <w:rsid w:val="52E49CDC"/>
    <w:rsid w:val="52EB084C"/>
    <w:rsid w:val="52F2E60C"/>
    <w:rsid w:val="52F5520A"/>
    <w:rsid w:val="52F8FBA2"/>
    <w:rsid w:val="5302EBFE"/>
    <w:rsid w:val="53053FEC"/>
    <w:rsid w:val="531842B6"/>
    <w:rsid w:val="531F1B56"/>
    <w:rsid w:val="533FEA1E"/>
    <w:rsid w:val="536EE81E"/>
    <w:rsid w:val="53786D10"/>
    <w:rsid w:val="53816C57"/>
    <w:rsid w:val="539DC5C4"/>
    <w:rsid w:val="539F927F"/>
    <w:rsid w:val="53A232D3"/>
    <w:rsid w:val="53A7E5BA"/>
    <w:rsid w:val="53C3B55D"/>
    <w:rsid w:val="53C6BC2D"/>
    <w:rsid w:val="53CFBFDD"/>
    <w:rsid w:val="540D8747"/>
    <w:rsid w:val="5419EDED"/>
    <w:rsid w:val="542F39C2"/>
    <w:rsid w:val="543D0E3A"/>
    <w:rsid w:val="546181FD"/>
    <w:rsid w:val="547EBB99"/>
    <w:rsid w:val="5485BAC7"/>
    <w:rsid w:val="54862D1C"/>
    <w:rsid w:val="54A0CC03"/>
    <w:rsid w:val="54D1D789"/>
    <w:rsid w:val="54D4B645"/>
    <w:rsid w:val="54D4F0C0"/>
    <w:rsid w:val="54DB284C"/>
    <w:rsid w:val="54E0334C"/>
    <w:rsid w:val="54EA4AE9"/>
    <w:rsid w:val="54F0F646"/>
    <w:rsid w:val="552398A9"/>
    <w:rsid w:val="5527F76E"/>
    <w:rsid w:val="5528CE40"/>
    <w:rsid w:val="553658CF"/>
    <w:rsid w:val="553F2E96"/>
    <w:rsid w:val="5577FC5C"/>
    <w:rsid w:val="55800D35"/>
    <w:rsid w:val="558397B8"/>
    <w:rsid w:val="558F050A"/>
    <w:rsid w:val="55A44B9D"/>
    <w:rsid w:val="55A45C4F"/>
    <w:rsid w:val="55D5A446"/>
    <w:rsid w:val="55E268E9"/>
    <w:rsid w:val="55E3A6EB"/>
    <w:rsid w:val="5609D195"/>
    <w:rsid w:val="560DB0CF"/>
    <w:rsid w:val="56128DC1"/>
    <w:rsid w:val="56163358"/>
    <w:rsid w:val="561C3964"/>
    <w:rsid w:val="5628A493"/>
    <w:rsid w:val="5631F20C"/>
    <w:rsid w:val="5639AC37"/>
    <w:rsid w:val="563B7293"/>
    <w:rsid w:val="5665265E"/>
    <w:rsid w:val="567D50FB"/>
    <w:rsid w:val="567F76D0"/>
    <w:rsid w:val="569FEB69"/>
    <w:rsid w:val="56B90D19"/>
    <w:rsid w:val="56BD2763"/>
    <w:rsid w:val="56CD96F1"/>
    <w:rsid w:val="56DF7B1E"/>
    <w:rsid w:val="56EBB832"/>
    <w:rsid w:val="56EC24C0"/>
    <w:rsid w:val="57023426"/>
    <w:rsid w:val="5718332F"/>
    <w:rsid w:val="5728CF31"/>
    <w:rsid w:val="5732E378"/>
    <w:rsid w:val="57474F8C"/>
    <w:rsid w:val="575245E0"/>
    <w:rsid w:val="576B0543"/>
    <w:rsid w:val="57810C59"/>
    <w:rsid w:val="57A9D1D4"/>
    <w:rsid w:val="57AFD865"/>
    <w:rsid w:val="57BA88E6"/>
    <w:rsid w:val="57C6536B"/>
    <w:rsid w:val="57CE0D5E"/>
    <w:rsid w:val="57D03492"/>
    <w:rsid w:val="57E59318"/>
    <w:rsid w:val="57F70F93"/>
    <w:rsid w:val="580A9A00"/>
    <w:rsid w:val="58122392"/>
    <w:rsid w:val="581CEFD5"/>
    <w:rsid w:val="582203D8"/>
    <w:rsid w:val="5839E91B"/>
    <w:rsid w:val="5841A2FD"/>
    <w:rsid w:val="585D4C2B"/>
    <w:rsid w:val="5888382B"/>
    <w:rsid w:val="588F76BC"/>
    <w:rsid w:val="588FD16D"/>
    <w:rsid w:val="58C2AD9F"/>
    <w:rsid w:val="58DC3122"/>
    <w:rsid w:val="58EB24E9"/>
    <w:rsid w:val="5912B5A9"/>
    <w:rsid w:val="5913B0B7"/>
    <w:rsid w:val="591C013E"/>
    <w:rsid w:val="59264057"/>
    <w:rsid w:val="59270CEB"/>
    <w:rsid w:val="592DF917"/>
    <w:rsid w:val="5949B4A6"/>
    <w:rsid w:val="597F828B"/>
    <w:rsid w:val="5985ECF1"/>
    <w:rsid w:val="598ED3AC"/>
    <w:rsid w:val="599CC720"/>
    <w:rsid w:val="59A65B85"/>
    <w:rsid w:val="59A90535"/>
    <w:rsid w:val="59CFBFC2"/>
    <w:rsid w:val="5A2071F0"/>
    <w:rsid w:val="5A2E1DC1"/>
    <w:rsid w:val="5A2F8EF1"/>
    <w:rsid w:val="5A3C85C9"/>
    <w:rsid w:val="5A4AAA7C"/>
    <w:rsid w:val="5A6C7826"/>
    <w:rsid w:val="5AA4B0E1"/>
    <w:rsid w:val="5AAEBDA3"/>
    <w:rsid w:val="5AB94E1D"/>
    <w:rsid w:val="5ABE12EC"/>
    <w:rsid w:val="5AC59D22"/>
    <w:rsid w:val="5AC96B89"/>
    <w:rsid w:val="5ADD0820"/>
    <w:rsid w:val="5AEE4C9C"/>
    <w:rsid w:val="5AEF1DFC"/>
    <w:rsid w:val="5AF21A27"/>
    <w:rsid w:val="5B05052D"/>
    <w:rsid w:val="5B0A7B07"/>
    <w:rsid w:val="5B0F4B51"/>
    <w:rsid w:val="5B16C128"/>
    <w:rsid w:val="5B1D2AC6"/>
    <w:rsid w:val="5B2AF8AE"/>
    <w:rsid w:val="5B4FB88B"/>
    <w:rsid w:val="5B58A8BA"/>
    <w:rsid w:val="5B6117C4"/>
    <w:rsid w:val="5B660614"/>
    <w:rsid w:val="5B6FD7C4"/>
    <w:rsid w:val="5B831FFC"/>
    <w:rsid w:val="5B8C7E3C"/>
    <w:rsid w:val="5B9BBFAD"/>
    <w:rsid w:val="5B9D9C61"/>
    <w:rsid w:val="5BAD3A21"/>
    <w:rsid w:val="5BBA4BBE"/>
    <w:rsid w:val="5BBDD1EC"/>
    <w:rsid w:val="5BD684C2"/>
    <w:rsid w:val="5BDF991E"/>
    <w:rsid w:val="5BEFEC7C"/>
    <w:rsid w:val="5C1E1663"/>
    <w:rsid w:val="5C2DF73B"/>
    <w:rsid w:val="5C34CEC5"/>
    <w:rsid w:val="5C445381"/>
    <w:rsid w:val="5C45E4BC"/>
    <w:rsid w:val="5C6599D9"/>
    <w:rsid w:val="5C69A5AE"/>
    <w:rsid w:val="5C6B15ED"/>
    <w:rsid w:val="5C71B772"/>
    <w:rsid w:val="5C7B65E3"/>
    <w:rsid w:val="5C834868"/>
    <w:rsid w:val="5C85ADF6"/>
    <w:rsid w:val="5C98DA9E"/>
    <w:rsid w:val="5C9FC8B1"/>
    <w:rsid w:val="5CB2E6A3"/>
    <w:rsid w:val="5CDFAE6C"/>
    <w:rsid w:val="5CED8941"/>
    <w:rsid w:val="5CED9F8D"/>
    <w:rsid w:val="5CFE3236"/>
    <w:rsid w:val="5D1177DA"/>
    <w:rsid w:val="5D2AE170"/>
    <w:rsid w:val="5D44D4E5"/>
    <w:rsid w:val="5D821B19"/>
    <w:rsid w:val="5D953ED5"/>
    <w:rsid w:val="5DAB57B3"/>
    <w:rsid w:val="5DB5F4CD"/>
    <w:rsid w:val="5E28D4AE"/>
    <w:rsid w:val="5E4A6EC2"/>
    <w:rsid w:val="5E5A59DE"/>
    <w:rsid w:val="5E5E3871"/>
    <w:rsid w:val="5E6575CF"/>
    <w:rsid w:val="5E85A004"/>
    <w:rsid w:val="5E8ACA99"/>
    <w:rsid w:val="5E929AEE"/>
    <w:rsid w:val="5E989387"/>
    <w:rsid w:val="5EC2B278"/>
    <w:rsid w:val="5ECA9210"/>
    <w:rsid w:val="5EEEA78A"/>
    <w:rsid w:val="5F00721C"/>
    <w:rsid w:val="5F0C7C86"/>
    <w:rsid w:val="5F1307D8"/>
    <w:rsid w:val="5F1979ED"/>
    <w:rsid w:val="5F2563C0"/>
    <w:rsid w:val="5F2C5593"/>
    <w:rsid w:val="5F3A32AD"/>
    <w:rsid w:val="5F46DBB2"/>
    <w:rsid w:val="5F56E23B"/>
    <w:rsid w:val="5F6597FD"/>
    <w:rsid w:val="5F68A7AA"/>
    <w:rsid w:val="5FCBC07A"/>
    <w:rsid w:val="5FDA7BE4"/>
    <w:rsid w:val="5FFAA8B4"/>
    <w:rsid w:val="60025A92"/>
    <w:rsid w:val="6009E707"/>
    <w:rsid w:val="600BD8F1"/>
    <w:rsid w:val="601E59AD"/>
    <w:rsid w:val="6028C0F1"/>
    <w:rsid w:val="602BFED5"/>
    <w:rsid w:val="60439BEE"/>
    <w:rsid w:val="6080AB44"/>
    <w:rsid w:val="60853529"/>
    <w:rsid w:val="609847BA"/>
    <w:rsid w:val="60A2B6B0"/>
    <w:rsid w:val="60A6172C"/>
    <w:rsid w:val="60AF8C0E"/>
    <w:rsid w:val="60B8A716"/>
    <w:rsid w:val="60BA0365"/>
    <w:rsid w:val="60BEF3B4"/>
    <w:rsid w:val="60E483E3"/>
    <w:rsid w:val="60F682B6"/>
    <w:rsid w:val="60FD44D3"/>
    <w:rsid w:val="6103DB15"/>
    <w:rsid w:val="611BEE6B"/>
    <w:rsid w:val="61213926"/>
    <w:rsid w:val="612C09DE"/>
    <w:rsid w:val="61321C44"/>
    <w:rsid w:val="61565C61"/>
    <w:rsid w:val="615BFA4F"/>
    <w:rsid w:val="61691264"/>
    <w:rsid w:val="617507E9"/>
    <w:rsid w:val="6178AE78"/>
    <w:rsid w:val="618527F3"/>
    <w:rsid w:val="61859940"/>
    <w:rsid w:val="61A340EA"/>
    <w:rsid w:val="61A8C353"/>
    <w:rsid w:val="61B01E37"/>
    <w:rsid w:val="61BFDB25"/>
    <w:rsid w:val="61C198DA"/>
    <w:rsid w:val="61C4F7E2"/>
    <w:rsid w:val="61C53C73"/>
    <w:rsid w:val="61C82AB9"/>
    <w:rsid w:val="620B8FAD"/>
    <w:rsid w:val="6244E0D6"/>
    <w:rsid w:val="6246CCE1"/>
    <w:rsid w:val="624A0FAB"/>
    <w:rsid w:val="6254527C"/>
    <w:rsid w:val="62556A19"/>
    <w:rsid w:val="625BB8F6"/>
    <w:rsid w:val="6261014E"/>
    <w:rsid w:val="629B23EF"/>
    <w:rsid w:val="62AD95F2"/>
    <w:rsid w:val="62AF44DB"/>
    <w:rsid w:val="62B1B217"/>
    <w:rsid w:val="62F7E52A"/>
    <w:rsid w:val="62F815D1"/>
    <w:rsid w:val="62F8DD1F"/>
    <w:rsid w:val="62FCAAF4"/>
    <w:rsid w:val="62FE79C4"/>
    <w:rsid w:val="6301057F"/>
    <w:rsid w:val="630CE8E8"/>
    <w:rsid w:val="6313AB5E"/>
    <w:rsid w:val="63280B47"/>
    <w:rsid w:val="632BAE91"/>
    <w:rsid w:val="6335F8A3"/>
    <w:rsid w:val="6337A46A"/>
    <w:rsid w:val="6341E9C5"/>
    <w:rsid w:val="63457D15"/>
    <w:rsid w:val="63457F47"/>
    <w:rsid w:val="636709E0"/>
    <w:rsid w:val="63826369"/>
    <w:rsid w:val="63A8C2FD"/>
    <w:rsid w:val="63B20FCC"/>
    <w:rsid w:val="63C8C560"/>
    <w:rsid w:val="63D3570B"/>
    <w:rsid w:val="63D66F5C"/>
    <w:rsid w:val="63DD12C8"/>
    <w:rsid w:val="63E196A7"/>
    <w:rsid w:val="63F96F51"/>
    <w:rsid w:val="63F9D192"/>
    <w:rsid w:val="6405E388"/>
    <w:rsid w:val="645D20B6"/>
    <w:rsid w:val="64677AF2"/>
    <w:rsid w:val="6470ABBE"/>
    <w:rsid w:val="648397D8"/>
    <w:rsid w:val="6499363B"/>
    <w:rsid w:val="649A0E0E"/>
    <w:rsid w:val="64A3B316"/>
    <w:rsid w:val="64A5719C"/>
    <w:rsid w:val="64A8B9A0"/>
    <w:rsid w:val="64B4873C"/>
    <w:rsid w:val="64BD38EA"/>
    <w:rsid w:val="64C24863"/>
    <w:rsid w:val="64C93C2A"/>
    <w:rsid w:val="65058D6A"/>
    <w:rsid w:val="651E0AC7"/>
    <w:rsid w:val="6524BF73"/>
    <w:rsid w:val="652BB1FA"/>
    <w:rsid w:val="6536A959"/>
    <w:rsid w:val="654A4EE7"/>
    <w:rsid w:val="65699457"/>
    <w:rsid w:val="657CC8F7"/>
    <w:rsid w:val="657D6708"/>
    <w:rsid w:val="658C44FB"/>
    <w:rsid w:val="659C16D5"/>
    <w:rsid w:val="65C58924"/>
    <w:rsid w:val="65CFC876"/>
    <w:rsid w:val="65DB9375"/>
    <w:rsid w:val="65EC43B9"/>
    <w:rsid w:val="65F636B5"/>
    <w:rsid w:val="6606E73B"/>
    <w:rsid w:val="66085896"/>
    <w:rsid w:val="661F1E31"/>
    <w:rsid w:val="6629F229"/>
    <w:rsid w:val="662E2095"/>
    <w:rsid w:val="663C8387"/>
    <w:rsid w:val="665C38BF"/>
    <w:rsid w:val="6666D3B4"/>
    <w:rsid w:val="667F7B08"/>
    <w:rsid w:val="668F05FE"/>
    <w:rsid w:val="66A3AB9A"/>
    <w:rsid w:val="66A64CB0"/>
    <w:rsid w:val="66C73898"/>
    <w:rsid w:val="66CC9B84"/>
    <w:rsid w:val="66DAA862"/>
    <w:rsid w:val="66F3F411"/>
    <w:rsid w:val="66FBB366"/>
    <w:rsid w:val="66FEE516"/>
    <w:rsid w:val="67048963"/>
    <w:rsid w:val="670B9D7B"/>
    <w:rsid w:val="671431B7"/>
    <w:rsid w:val="67196924"/>
    <w:rsid w:val="6733D034"/>
    <w:rsid w:val="67427A44"/>
    <w:rsid w:val="67516D6B"/>
    <w:rsid w:val="67728ED4"/>
    <w:rsid w:val="6778F8E3"/>
    <w:rsid w:val="677B1CB2"/>
    <w:rsid w:val="67850BE7"/>
    <w:rsid w:val="67891CB2"/>
    <w:rsid w:val="6799BAC3"/>
    <w:rsid w:val="67A9CB79"/>
    <w:rsid w:val="67ACB48B"/>
    <w:rsid w:val="67BD83EC"/>
    <w:rsid w:val="67D0B265"/>
    <w:rsid w:val="67E2FF52"/>
    <w:rsid w:val="67F439DA"/>
    <w:rsid w:val="67FC74F3"/>
    <w:rsid w:val="6806189D"/>
    <w:rsid w:val="681176E2"/>
    <w:rsid w:val="68190410"/>
    <w:rsid w:val="681F080F"/>
    <w:rsid w:val="6822ED0C"/>
    <w:rsid w:val="682C7BE4"/>
    <w:rsid w:val="6834BC28"/>
    <w:rsid w:val="684353A5"/>
    <w:rsid w:val="685839E3"/>
    <w:rsid w:val="687A738B"/>
    <w:rsid w:val="687DA980"/>
    <w:rsid w:val="687DE42F"/>
    <w:rsid w:val="688632C6"/>
    <w:rsid w:val="688AADAD"/>
    <w:rsid w:val="68C95A9B"/>
    <w:rsid w:val="68D40762"/>
    <w:rsid w:val="68F01FC7"/>
    <w:rsid w:val="6926EEB7"/>
    <w:rsid w:val="69324233"/>
    <w:rsid w:val="694C0A67"/>
    <w:rsid w:val="6954466D"/>
    <w:rsid w:val="69BDF0B0"/>
    <w:rsid w:val="69CD6526"/>
    <w:rsid w:val="69D04A5C"/>
    <w:rsid w:val="69D645F7"/>
    <w:rsid w:val="69F0B909"/>
    <w:rsid w:val="69FC800C"/>
    <w:rsid w:val="6A36C7D3"/>
    <w:rsid w:val="6A43EC53"/>
    <w:rsid w:val="6A4FBA24"/>
    <w:rsid w:val="6A6FFFF6"/>
    <w:rsid w:val="6A797C22"/>
    <w:rsid w:val="6A7B9537"/>
    <w:rsid w:val="6A810F99"/>
    <w:rsid w:val="6A81DA21"/>
    <w:rsid w:val="6A96EB7E"/>
    <w:rsid w:val="6A999239"/>
    <w:rsid w:val="6AA2CA95"/>
    <w:rsid w:val="6AB0CD75"/>
    <w:rsid w:val="6ABD5474"/>
    <w:rsid w:val="6AC479ED"/>
    <w:rsid w:val="6AE17975"/>
    <w:rsid w:val="6AE7DAC8"/>
    <w:rsid w:val="6AF1E9A5"/>
    <w:rsid w:val="6AF3A742"/>
    <w:rsid w:val="6AF645EB"/>
    <w:rsid w:val="6B027563"/>
    <w:rsid w:val="6B152BAF"/>
    <w:rsid w:val="6B1A3A47"/>
    <w:rsid w:val="6B1DA714"/>
    <w:rsid w:val="6B1ECF00"/>
    <w:rsid w:val="6B263DEE"/>
    <w:rsid w:val="6B687B20"/>
    <w:rsid w:val="6B7CA0BA"/>
    <w:rsid w:val="6B8678A6"/>
    <w:rsid w:val="6B8B9A20"/>
    <w:rsid w:val="6BA0D6F0"/>
    <w:rsid w:val="6BCB26F2"/>
    <w:rsid w:val="6BD914E5"/>
    <w:rsid w:val="6C1113DE"/>
    <w:rsid w:val="6C341A5D"/>
    <w:rsid w:val="6C3754CA"/>
    <w:rsid w:val="6C4A4ACD"/>
    <w:rsid w:val="6C559BEF"/>
    <w:rsid w:val="6C88B70D"/>
    <w:rsid w:val="6C8F9A8D"/>
    <w:rsid w:val="6C953B06"/>
    <w:rsid w:val="6CB4B106"/>
    <w:rsid w:val="6CC4CDAC"/>
    <w:rsid w:val="6CC779F2"/>
    <w:rsid w:val="6CF169B1"/>
    <w:rsid w:val="6CF386FE"/>
    <w:rsid w:val="6CF4C1DB"/>
    <w:rsid w:val="6D09D062"/>
    <w:rsid w:val="6D1B7AE1"/>
    <w:rsid w:val="6D23FB0B"/>
    <w:rsid w:val="6D2BBD1C"/>
    <w:rsid w:val="6D2D3790"/>
    <w:rsid w:val="6D354480"/>
    <w:rsid w:val="6D45AE14"/>
    <w:rsid w:val="6D486E95"/>
    <w:rsid w:val="6D49B44C"/>
    <w:rsid w:val="6D5125DC"/>
    <w:rsid w:val="6D54DE98"/>
    <w:rsid w:val="6D593707"/>
    <w:rsid w:val="6D685A47"/>
    <w:rsid w:val="6D87B8C7"/>
    <w:rsid w:val="6D8846E0"/>
    <w:rsid w:val="6D933892"/>
    <w:rsid w:val="6DA32F03"/>
    <w:rsid w:val="6DA6741B"/>
    <w:rsid w:val="6DD378D8"/>
    <w:rsid w:val="6DD87EB0"/>
    <w:rsid w:val="6DE8B7FB"/>
    <w:rsid w:val="6DEC2610"/>
    <w:rsid w:val="6DF21F30"/>
    <w:rsid w:val="6DFAAEC6"/>
    <w:rsid w:val="6E0A8B53"/>
    <w:rsid w:val="6E190CFD"/>
    <w:rsid w:val="6E1FD24C"/>
    <w:rsid w:val="6E38450F"/>
    <w:rsid w:val="6E4D1982"/>
    <w:rsid w:val="6E55682B"/>
    <w:rsid w:val="6E7040FD"/>
    <w:rsid w:val="6E805E50"/>
    <w:rsid w:val="6E8E39E1"/>
    <w:rsid w:val="6E9B8341"/>
    <w:rsid w:val="6EA23E27"/>
    <w:rsid w:val="6EABBEDD"/>
    <w:rsid w:val="6ED5AAF3"/>
    <w:rsid w:val="6EFD2EB2"/>
    <w:rsid w:val="6EFE3871"/>
    <w:rsid w:val="6F052C53"/>
    <w:rsid w:val="6F18B696"/>
    <w:rsid w:val="6F195CA3"/>
    <w:rsid w:val="6F1A56EA"/>
    <w:rsid w:val="6F2298EB"/>
    <w:rsid w:val="6F2D14B1"/>
    <w:rsid w:val="6F30E5D4"/>
    <w:rsid w:val="6F337069"/>
    <w:rsid w:val="6F59067B"/>
    <w:rsid w:val="6F5AD8B8"/>
    <w:rsid w:val="6F5D0193"/>
    <w:rsid w:val="6F5DF991"/>
    <w:rsid w:val="6F5FC678"/>
    <w:rsid w:val="6F615989"/>
    <w:rsid w:val="6F6B96FE"/>
    <w:rsid w:val="6F771AB0"/>
    <w:rsid w:val="6F9E5347"/>
    <w:rsid w:val="6FB11EB5"/>
    <w:rsid w:val="6FC1F8F9"/>
    <w:rsid w:val="6FC7C5AE"/>
    <w:rsid w:val="6FCAAB8F"/>
    <w:rsid w:val="6FF3B42F"/>
    <w:rsid w:val="70166DB3"/>
    <w:rsid w:val="7025034E"/>
    <w:rsid w:val="7026A5B0"/>
    <w:rsid w:val="704D1B9B"/>
    <w:rsid w:val="704E7415"/>
    <w:rsid w:val="70566A02"/>
    <w:rsid w:val="7058F9AB"/>
    <w:rsid w:val="70633F12"/>
    <w:rsid w:val="70649F40"/>
    <w:rsid w:val="708E0B19"/>
    <w:rsid w:val="70ACAF6E"/>
    <w:rsid w:val="70CCB635"/>
    <w:rsid w:val="70E35E05"/>
    <w:rsid w:val="70F19EF3"/>
    <w:rsid w:val="70F1FB39"/>
    <w:rsid w:val="70F33E4F"/>
    <w:rsid w:val="710C0C9F"/>
    <w:rsid w:val="7111E027"/>
    <w:rsid w:val="7123D74E"/>
    <w:rsid w:val="71326720"/>
    <w:rsid w:val="714BB84A"/>
    <w:rsid w:val="7153D28C"/>
    <w:rsid w:val="7163ADC0"/>
    <w:rsid w:val="717ED660"/>
    <w:rsid w:val="719AA747"/>
    <w:rsid w:val="71B09EC3"/>
    <w:rsid w:val="71B1FC46"/>
    <w:rsid w:val="71CD5CAA"/>
    <w:rsid w:val="71CDF9FF"/>
    <w:rsid w:val="71CF44BD"/>
    <w:rsid w:val="71D77E9A"/>
    <w:rsid w:val="71E7160E"/>
    <w:rsid w:val="71EEF65B"/>
    <w:rsid w:val="71F26218"/>
    <w:rsid w:val="71FFD849"/>
    <w:rsid w:val="722D0FA4"/>
    <w:rsid w:val="7237B1F9"/>
    <w:rsid w:val="723947D1"/>
    <w:rsid w:val="7246085B"/>
    <w:rsid w:val="725ADA8E"/>
    <w:rsid w:val="72852854"/>
    <w:rsid w:val="7290B50F"/>
    <w:rsid w:val="72C6E6F6"/>
    <w:rsid w:val="72CBC859"/>
    <w:rsid w:val="72CBF39A"/>
    <w:rsid w:val="72E702D2"/>
    <w:rsid w:val="72F0C868"/>
    <w:rsid w:val="72F0D3B5"/>
    <w:rsid w:val="73018532"/>
    <w:rsid w:val="731920E0"/>
    <w:rsid w:val="731A4BA2"/>
    <w:rsid w:val="731EF08E"/>
    <w:rsid w:val="73407B96"/>
    <w:rsid w:val="7352C151"/>
    <w:rsid w:val="737E07DE"/>
    <w:rsid w:val="738FD094"/>
    <w:rsid w:val="73AA977F"/>
    <w:rsid w:val="73AC01B8"/>
    <w:rsid w:val="73BABA28"/>
    <w:rsid w:val="73D13B70"/>
    <w:rsid w:val="73DB03FC"/>
    <w:rsid w:val="73F715FB"/>
    <w:rsid w:val="73F8963A"/>
    <w:rsid w:val="74165562"/>
    <w:rsid w:val="7420FD4C"/>
    <w:rsid w:val="7421359F"/>
    <w:rsid w:val="74313B15"/>
    <w:rsid w:val="743258A8"/>
    <w:rsid w:val="7432B99F"/>
    <w:rsid w:val="743B8546"/>
    <w:rsid w:val="74641F92"/>
    <w:rsid w:val="746B570A"/>
    <w:rsid w:val="7477BD82"/>
    <w:rsid w:val="747D41EE"/>
    <w:rsid w:val="748C2123"/>
    <w:rsid w:val="74997863"/>
    <w:rsid w:val="74B38B48"/>
    <w:rsid w:val="74D47642"/>
    <w:rsid w:val="74D561C6"/>
    <w:rsid w:val="74E1C87A"/>
    <w:rsid w:val="74E8C55C"/>
    <w:rsid w:val="74EB7D64"/>
    <w:rsid w:val="750DF1FB"/>
    <w:rsid w:val="750FCA45"/>
    <w:rsid w:val="752F3A3A"/>
    <w:rsid w:val="753457D1"/>
    <w:rsid w:val="7539C0D0"/>
    <w:rsid w:val="753EC3F5"/>
    <w:rsid w:val="7545F5B4"/>
    <w:rsid w:val="754BD93B"/>
    <w:rsid w:val="757514C2"/>
    <w:rsid w:val="7592CFAB"/>
    <w:rsid w:val="759644D3"/>
    <w:rsid w:val="75A4A352"/>
    <w:rsid w:val="75A8B02A"/>
    <w:rsid w:val="75BC9BED"/>
    <w:rsid w:val="75D9C5FB"/>
    <w:rsid w:val="75ED9E0E"/>
    <w:rsid w:val="76067116"/>
    <w:rsid w:val="7622E60D"/>
    <w:rsid w:val="76348425"/>
    <w:rsid w:val="76404634"/>
    <w:rsid w:val="764D4198"/>
    <w:rsid w:val="765A3367"/>
    <w:rsid w:val="766D12EC"/>
    <w:rsid w:val="76731E87"/>
    <w:rsid w:val="76749B59"/>
    <w:rsid w:val="767B5872"/>
    <w:rsid w:val="767D9003"/>
    <w:rsid w:val="768FB1E3"/>
    <w:rsid w:val="76B5066F"/>
    <w:rsid w:val="76B54E38"/>
    <w:rsid w:val="76CD6525"/>
    <w:rsid w:val="76D2CE8C"/>
    <w:rsid w:val="76D8C867"/>
    <w:rsid w:val="76DCC8AE"/>
    <w:rsid w:val="76F01882"/>
    <w:rsid w:val="7701B388"/>
    <w:rsid w:val="7705DE4A"/>
    <w:rsid w:val="771955FC"/>
    <w:rsid w:val="771B06AA"/>
    <w:rsid w:val="772A5631"/>
    <w:rsid w:val="7738C9B8"/>
    <w:rsid w:val="774FEDB7"/>
    <w:rsid w:val="7773F60E"/>
    <w:rsid w:val="7777E392"/>
    <w:rsid w:val="7777FF0C"/>
    <w:rsid w:val="777F669F"/>
    <w:rsid w:val="778BC2AD"/>
    <w:rsid w:val="77970B5A"/>
    <w:rsid w:val="779B6A79"/>
    <w:rsid w:val="77AC5577"/>
    <w:rsid w:val="77B89FE7"/>
    <w:rsid w:val="77BCF4F3"/>
    <w:rsid w:val="77BD8F8C"/>
    <w:rsid w:val="77BFEF43"/>
    <w:rsid w:val="77C3F7F8"/>
    <w:rsid w:val="77E278ED"/>
    <w:rsid w:val="77E3BE88"/>
    <w:rsid w:val="77FD72CF"/>
    <w:rsid w:val="7813F14C"/>
    <w:rsid w:val="7827497D"/>
    <w:rsid w:val="78320F6E"/>
    <w:rsid w:val="78336701"/>
    <w:rsid w:val="7844DE9F"/>
    <w:rsid w:val="785B31CA"/>
    <w:rsid w:val="785C3337"/>
    <w:rsid w:val="78711EDE"/>
    <w:rsid w:val="788980A9"/>
    <w:rsid w:val="789AEAE3"/>
    <w:rsid w:val="789BEE36"/>
    <w:rsid w:val="78A76022"/>
    <w:rsid w:val="78ACF4EB"/>
    <w:rsid w:val="78BAA59F"/>
    <w:rsid w:val="78BEB96E"/>
    <w:rsid w:val="78C1831D"/>
    <w:rsid w:val="78C2D546"/>
    <w:rsid w:val="78CB2555"/>
    <w:rsid w:val="78DEB97C"/>
    <w:rsid w:val="7901BC6E"/>
    <w:rsid w:val="790FC166"/>
    <w:rsid w:val="7927A7F4"/>
    <w:rsid w:val="792BAEF9"/>
    <w:rsid w:val="792FB4BB"/>
    <w:rsid w:val="7930E333"/>
    <w:rsid w:val="7933ECD0"/>
    <w:rsid w:val="7944843A"/>
    <w:rsid w:val="797D3089"/>
    <w:rsid w:val="79C3BB0F"/>
    <w:rsid w:val="79C6D6E9"/>
    <w:rsid w:val="79DFE875"/>
    <w:rsid w:val="79E5DF2B"/>
    <w:rsid w:val="79E63A41"/>
    <w:rsid w:val="79F59E17"/>
    <w:rsid w:val="79FC7D5E"/>
    <w:rsid w:val="7A0B8319"/>
    <w:rsid w:val="7A4713F8"/>
    <w:rsid w:val="7A53F9B6"/>
    <w:rsid w:val="7A70165C"/>
    <w:rsid w:val="7A732A49"/>
    <w:rsid w:val="7A79550D"/>
    <w:rsid w:val="7A9D8941"/>
    <w:rsid w:val="7AD03002"/>
    <w:rsid w:val="7AD215B9"/>
    <w:rsid w:val="7AD2B695"/>
    <w:rsid w:val="7AE317A8"/>
    <w:rsid w:val="7AECF0EA"/>
    <w:rsid w:val="7AFB4054"/>
    <w:rsid w:val="7AFDFAB4"/>
    <w:rsid w:val="7B0F808E"/>
    <w:rsid w:val="7B1403FA"/>
    <w:rsid w:val="7B3BB864"/>
    <w:rsid w:val="7B831A24"/>
    <w:rsid w:val="7B8E6787"/>
    <w:rsid w:val="7BA0D18E"/>
    <w:rsid w:val="7BA6B565"/>
    <w:rsid w:val="7BA90530"/>
    <w:rsid w:val="7BB7936B"/>
    <w:rsid w:val="7BC69C42"/>
    <w:rsid w:val="7BE04DC4"/>
    <w:rsid w:val="7BF98A81"/>
    <w:rsid w:val="7C13F9A9"/>
    <w:rsid w:val="7C16E54D"/>
    <w:rsid w:val="7C173E71"/>
    <w:rsid w:val="7C293C0E"/>
    <w:rsid w:val="7C2F35B3"/>
    <w:rsid w:val="7C424347"/>
    <w:rsid w:val="7C4744DD"/>
    <w:rsid w:val="7C5B6C6B"/>
    <w:rsid w:val="7C5C45A1"/>
    <w:rsid w:val="7C6086C4"/>
    <w:rsid w:val="7C8DE8ED"/>
    <w:rsid w:val="7C94506F"/>
    <w:rsid w:val="7C9C3DC5"/>
    <w:rsid w:val="7CB9964F"/>
    <w:rsid w:val="7CDC7D1B"/>
    <w:rsid w:val="7CE48BE3"/>
    <w:rsid w:val="7CEE0A90"/>
    <w:rsid w:val="7CFA5AB6"/>
    <w:rsid w:val="7CFCD66E"/>
    <w:rsid w:val="7CFF0CCA"/>
    <w:rsid w:val="7D05B082"/>
    <w:rsid w:val="7D1743C3"/>
    <w:rsid w:val="7D2A1412"/>
    <w:rsid w:val="7D2FAB70"/>
    <w:rsid w:val="7D34F618"/>
    <w:rsid w:val="7D538E3C"/>
    <w:rsid w:val="7D87CB1B"/>
    <w:rsid w:val="7DA9BDE7"/>
    <w:rsid w:val="7DB3512E"/>
    <w:rsid w:val="7DBD9527"/>
    <w:rsid w:val="7DCA4820"/>
    <w:rsid w:val="7DCA8E24"/>
    <w:rsid w:val="7DD2B657"/>
    <w:rsid w:val="7DE9396F"/>
    <w:rsid w:val="7DF9C72C"/>
    <w:rsid w:val="7DFCD440"/>
    <w:rsid w:val="7E31CF6A"/>
    <w:rsid w:val="7E35E11B"/>
    <w:rsid w:val="7E3B8FEB"/>
    <w:rsid w:val="7E3D3777"/>
    <w:rsid w:val="7E3FF93F"/>
    <w:rsid w:val="7E4537AD"/>
    <w:rsid w:val="7E507F43"/>
    <w:rsid w:val="7E531F6D"/>
    <w:rsid w:val="7E6899BC"/>
    <w:rsid w:val="7E720E6F"/>
    <w:rsid w:val="7E735926"/>
    <w:rsid w:val="7E77430E"/>
    <w:rsid w:val="7E84DC5A"/>
    <w:rsid w:val="7E88D7E4"/>
    <w:rsid w:val="7E914062"/>
    <w:rsid w:val="7E91BF85"/>
    <w:rsid w:val="7EA27A14"/>
    <w:rsid w:val="7EC77C28"/>
    <w:rsid w:val="7ECCC1F1"/>
    <w:rsid w:val="7F01BB3A"/>
    <w:rsid w:val="7F1C71DA"/>
    <w:rsid w:val="7F207F75"/>
    <w:rsid w:val="7F22285E"/>
    <w:rsid w:val="7F48EA55"/>
    <w:rsid w:val="7F60DCD0"/>
    <w:rsid w:val="7F685935"/>
    <w:rsid w:val="7F69D711"/>
    <w:rsid w:val="7F7273BB"/>
    <w:rsid w:val="7F810635"/>
    <w:rsid w:val="7F864B52"/>
    <w:rsid w:val="7F8B6434"/>
    <w:rsid w:val="7F93733E"/>
    <w:rsid w:val="7F9A75F3"/>
    <w:rsid w:val="7F9A8334"/>
    <w:rsid w:val="7FA44ABF"/>
    <w:rsid w:val="7FB06644"/>
    <w:rsid w:val="7FD7937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95665"/>
  <w15:chartTrackingRefBased/>
  <w15:docId w15:val="{14DA0275-DBD9-4E35-A2F6-DC9ACD747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FE2"/>
    <w:pPr>
      <w:spacing w:before="120" w:after="120"/>
    </w:pPr>
    <w:rPr>
      <w:lang w:val="en-GB"/>
    </w:rPr>
  </w:style>
  <w:style w:type="paragraph" w:styleId="Heading1">
    <w:name w:val="heading 1"/>
    <w:basedOn w:val="Normal"/>
    <w:next w:val="Normal"/>
    <w:link w:val="Heading1Char"/>
    <w:uiPriority w:val="9"/>
    <w:qFormat/>
    <w:rsid w:val="00984FE2"/>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4FE2"/>
    <w:pPr>
      <w:keepNext/>
      <w:keepLines/>
      <w:spacing w:before="160" w:after="16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E6E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06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2D"/>
    <w:pPr>
      <w:ind w:left="720"/>
      <w:contextualSpacing/>
    </w:pPr>
  </w:style>
  <w:style w:type="character" w:customStyle="1" w:styleId="Heading1Char">
    <w:name w:val="Heading 1 Char"/>
    <w:basedOn w:val="DefaultParagraphFont"/>
    <w:link w:val="Heading1"/>
    <w:uiPriority w:val="9"/>
    <w:rsid w:val="00984FE2"/>
    <w:rPr>
      <w:rFonts w:asciiTheme="majorHAnsi" w:eastAsiaTheme="majorEastAsia" w:hAnsiTheme="majorHAnsi" w:cstheme="majorBidi"/>
      <w:color w:val="2F5496" w:themeColor="accent1" w:themeShade="BF"/>
      <w:sz w:val="32"/>
      <w:szCs w:val="32"/>
      <w:lang w:val="en-GB"/>
    </w:rPr>
  </w:style>
  <w:style w:type="paragraph" w:styleId="Title">
    <w:name w:val="Title"/>
    <w:basedOn w:val="Normal"/>
    <w:next w:val="Normal"/>
    <w:link w:val="TitleChar"/>
    <w:uiPriority w:val="10"/>
    <w:qFormat/>
    <w:rsid w:val="001042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234"/>
    <w:rPr>
      <w:rFonts w:asciiTheme="majorHAnsi" w:eastAsiaTheme="majorEastAsia" w:hAnsiTheme="majorHAnsi" w:cstheme="majorBidi"/>
      <w:spacing w:val="-10"/>
      <w:kern w:val="28"/>
      <w:sz w:val="56"/>
      <w:szCs w:val="56"/>
      <w:lang w:val="en-GB"/>
    </w:rPr>
  </w:style>
  <w:style w:type="character" w:customStyle="1" w:styleId="Heading2Char">
    <w:name w:val="Heading 2 Char"/>
    <w:basedOn w:val="DefaultParagraphFont"/>
    <w:link w:val="Heading2"/>
    <w:uiPriority w:val="9"/>
    <w:rsid w:val="00984FE2"/>
    <w:rPr>
      <w:rFonts w:asciiTheme="majorHAnsi" w:eastAsiaTheme="majorEastAsia" w:hAnsiTheme="majorHAnsi" w:cstheme="majorBidi"/>
      <w:color w:val="2F5496" w:themeColor="accent1" w:themeShade="BF"/>
      <w:sz w:val="26"/>
      <w:szCs w:val="26"/>
      <w:lang w:val="en-GB"/>
    </w:rPr>
  </w:style>
  <w:style w:type="character" w:styleId="CommentReference">
    <w:name w:val="annotation reference"/>
    <w:basedOn w:val="DefaultParagraphFont"/>
    <w:uiPriority w:val="99"/>
    <w:semiHidden/>
    <w:unhideWhenUsed/>
    <w:rsid w:val="008155A4"/>
    <w:rPr>
      <w:sz w:val="16"/>
      <w:szCs w:val="16"/>
    </w:rPr>
  </w:style>
  <w:style w:type="paragraph" w:styleId="CommentText">
    <w:name w:val="annotation text"/>
    <w:basedOn w:val="Normal"/>
    <w:link w:val="CommentTextChar"/>
    <w:uiPriority w:val="99"/>
    <w:unhideWhenUsed/>
    <w:rsid w:val="008155A4"/>
    <w:pPr>
      <w:spacing w:line="240" w:lineRule="auto"/>
    </w:pPr>
    <w:rPr>
      <w:sz w:val="20"/>
      <w:szCs w:val="20"/>
    </w:rPr>
  </w:style>
  <w:style w:type="character" w:customStyle="1" w:styleId="CommentTextChar">
    <w:name w:val="Comment Text Char"/>
    <w:basedOn w:val="DefaultParagraphFont"/>
    <w:link w:val="CommentText"/>
    <w:uiPriority w:val="99"/>
    <w:rsid w:val="008155A4"/>
    <w:rPr>
      <w:sz w:val="20"/>
      <w:szCs w:val="20"/>
      <w:lang w:val="en-GB"/>
    </w:rPr>
  </w:style>
  <w:style w:type="paragraph" w:styleId="CommentSubject">
    <w:name w:val="annotation subject"/>
    <w:basedOn w:val="CommentText"/>
    <w:next w:val="CommentText"/>
    <w:link w:val="CommentSubjectChar"/>
    <w:uiPriority w:val="99"/>
    <w:semiHidden/>
    <w:unhideWhenUsed/>
    <w:rsid w:val="008155A4"/>
    <w:rPr>
      <w:b/>
      <w:bCs/>
    </w:rPr>
  </w:style>
  <w:style w:type="character" w:customStyle="1" w:styleId="CommentSubjectChar">
    <w:name w:val="Comment Subject Char"/>
    <w:basedOn w:val="CommentTextChar"/>
    <w:link w:val="CommentSubject"/>
    <w:uiPriority w:val="99"/>
    <w:semiHidden/>
    <w:rsid w:val="008155A4"/>
    <w:rPr>
      <w:b/>
      <w:bCs/>
      <w:sz w:val="20"/>
      <w:szCs w:val="20"/>
      <w:lang w:val="en-GB"/>
    </w:rPr>
  </w:style>
  <w:style w:type="character" w:customStyle="1" w:styleId="Heading3Char">
    <w:name w:val="Heading 3 Char"/>
    <w:basedOn w:val="DefaultParagraphFont"/>
    <w:link w:val="Heading3"/>
    <w:uiPriority w:val="9"/>
    <w:rsid w:val="006E6E76"/>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65061B"/>
    <w:rPr>
      <w:rFonts w:asciiTheme="majorHAnsi" w:eastAsiaTheme="majorEastAsia" w:hAnsiTheme="majorHAnsi" w:cstheme="majorBidi"/>
      <w:i/>
      <w:iCs/>
      <w:color w:val="2F5496" w:themeColor="accent1" w:themeShade="BF"/>
      <w:lang w:val="en-GB"/>
    </w:rPr>
  </w:style>
  <w:style w:type="paragraph" w:styleId="TOCHeading">
    <w:name w:val="TOC Heading"/>
    <w:basedOn w:val="Heading1"/>
    <w:next w:val="Normal"/>
    <w:uiPriority w:val="39"/>
    <w:unhideWhenUsed/>
    <w:qFormat/>
    <w:rsid w:val="0065061B"/>
    <w:pPr>
      <w:spacing w:after="0"/>
      <w:outlineLvl w:val="9"/>
    </w:pPr>
    <w:rPr>
      <w:kern w:val="0"/>
      <w:lang w:val="en-US"/>
      <w14:ligatures w14:val="none"/>
    </w:rPr>
  </w:style>
  <w:style w:type="paragraph" w:styleId="TOC1">
    <w:name w:val="toc 1"/>
    <w:basedOn w:val="Normal"/>
    <w:next w:val="Normal"/>
    <w:autoRedefine/>
    <w:uiPriority w:val="39"/>
    <w:unhideWhenUsed/>
    <w:rsid w:val="0029528A"/>
    <w:pPr>
      <w:tabs>
        <w:tab w:val="left" w:pos="440"/>
        <w:tab w:val="right" w:leader="dot" w:pos="9062"/>
      </w:tabs>
      <w:spacing w:after="100"/>
    </w:pPr>
  </w:style>
  <w:style w:type="paragraph" w:styleId="TOC2">
    <w:name w:val="toc 2"/>
    <w:basedOn w:val="Normal"/>
    <w:next w:val="Normal"/>
    <w:autoRedefine/>
    <w:uiPriority w:val="39"/>
    <w:unhideWhenUsed/>
    <w:rsid w:val="002A34BB"/>
    <w:pPr>
      <w:tabs>
        <w:tab w:val="left" w:pos="960"/>
        <w:tab w:val="right" w:leader="dot" w:pos="9062"/>
      </w:tabs>
      <w:spacing w:after="100"/>
      <w:ind w:left="220"/>
    </w:pPr>
  </w:style>
  <w:style w:type="character" w:styleId="Hyperlink">
    <w:name w:val="Hyperlink"/>
    <w:basedOn w:val="DefaultParagraphFont"/>
    <w:uiPriority w:val="99"/>
    <w:unhideWhenUsed/>
    <w:rsid w:val="0065061B"/>
    <w:rPr>
      <w:color w:val="0563C1" w:themeColor="hyperlink"/>
      <w:u w:val="single"/>
    </w:rPr>
  </w:style>
  <w:style w:type="paragraph" w:styleId="Header">
    <w:name w:val="header"/>
    <w:basedOn w:val="Normal"/>
    <w:link w:val="HeaderChar"/>
    <w:uiPriority w:val="99"/>
    <w:unhideWhenUsed/>
    <w:rsid w:val="00052F7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52F7A"/>
    <w:rPr>
      <w:lang w:val="en-GB"/>
    </w:rPr>
  </w:style>
  <w:style w:type="paragraph" w:styleId="Footer">
    <w:name w:val="footer"/>
    <w:basedOn w:val="Normal"/>
    <w:link w:val="FooterChar"/>
    <w:uiPriority w:val="99"/>
    <w:unhideWhenUsed/>
    <w:rsid w:val="00052F7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52F7A"/>
    <w:rPr>
      <w:lang w:val="en-GB"/>
    </w:rPr>
  </w:style>
  <w:style w:type="character" w:styleId="UnresolvedMention">
    <w:name w:val="Unresolved Mention"/>
    <w:basedOn w:val="DefaultParagraphFont"/>
    <w:uiPriority w:val="99"/>
    <w:semiHidden/>
    <w:unhideWhenUsed/>
    <w:rsid w:val="00926BFF"/>
    <w:rPr>
      <w:color w:val="605E5C"/>
      <w:shd w:val="clear" w:color="auto" w:fill="E1DFDD"/>
    </w:rPr>
  </w:style>
  <w:style w:type="paragraph" w:styleId="Revision">
    <w:name w:val="Revision"/>
    <w:hidden/>
    <w:uiPriority w:val="99"/>
    <w:semiHidden/>
    <w:rsid w:val="00655EDE"/>
    <w:pPr>
      <w:spacing w:after="0" w:line="240" w:lineRule="auto"/>
    </w:pPr>
    <w:rPr>
      <w:lang w:val="en-GB"/>
    </w:rPr>
  </w:style>
  <w:style w:type="paragraph" w:styleId="FootnoteText">
    <w:name w:val="footnote text"/>
    <w:basedOn w:val="Normal"/>
    <w:link w:val="FootnoteTextChar"/>
    <w:uiPriority w:val="99"/>
    <w:semiHidden/>
    <w:unhideWhenUsed/>
    <w:rsid w:val="0040734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07342"/>
    <w:rPr>
      <w:sz w:val="20"/>
      <w:szCs w:val="20"/>
      <w:lang w:val="en-GB"/>
    </w:rPr>
  </w:style>
  <w:style w:type="character" w:styleId="FootnoteReference">
    <w:name w:val="footnote reference"/>
    <w:basedOn w:val="DefaultParagraphFont"/>
    <w:uiPriority w:val="99"/>
    <w:semiHidden/>
    <w:unhideWhenUsed/>
    <w:rsid w:val="00407342"/>
    <w:rPr>
      <w:vertAlign w:val="superscript"/>
    </w:rPr>
  </w:style>
  <w:style w:type="table" w:styleId="TableGrid">
    <w:name w:val="Table Grid"/>
    <w:basedOn w:val="TableNormal"/>
    <w:uiPriority w:val="39"/>
    <w:rsid w:val="00FD7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54330F"/>
    <w:pPr>
      <w:spacing w:after="100"/>
      <w:ind w:left="440"/>
    </w:pPr>
  </w:style>
  <w:style w:type="paragraph" w:styleId="Caption">
    <w:name w:val="caption"/>
    <w:basedOn w:val="Normal"/>
    <w:next w:val="Normal"/>
    <w:uiPriority w:val="35"/>
    <w:unhideWhenUsed/>
    <w:qFormat/>
    <w:rsid w:val="00857ED6"/>
    <w:pPr>
      <w:spacing w:before="0"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B34566"/>
    <w:rPr>
      <w:color w:val="954F72" w:themeColor="followedHyperlink"/>
      <w:u w:val="single"/>
    </w:rPr>
  </w:style>
  <w:style w:type="character" w:styleId="Mention">
    <w:name w:val="Mention"/>
    <w:basedOn w:val="DefaultParagraphFont"/>
    <w:uiPriority w:val="99"/>
    <w:unhideWhenUsed/>
    <w:rsid w:val="00264CC0"/>
    <w:rPr>
      <w:color w:val="2B579A"/>
      <w:shd w:val="clear" w:color="auto" w:fill="E1DFDD"/>
    </w:rPr>
  </w:style>
  <w:style w:type="character" w:customStyle="1" w:styleId="cf01">
    <w:name w:val="cf01"/>
    <w:basedOn w:val="DefaultParagraphFont"/>
    <w:rsid w:val="002462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67890">
      <w:bodyDiv w:val="1"/>
      <w:marLeft w:val="0"/>
      <w:marRight w:val="0"/>
      <w:marTop w:val="0"/>
      <w:marBottom w:val="0"/>
      <w:divBdr>
        <w:top w:val="none" w:sz="0" w:space="0" w:color="auto"/>
        <w:left w:val="none" w:sz="0" w:space="0" w:color="auto"/>
        <w:bottom w:val="none" w:sz="0" w:space="0" w:color="auto"/>
        <w:right w:val="none" w:sz="0" w:space="0" w:color="auto"/>
      </w:divBdr>
    </w:div>
    <w:div w:id="307783182">
      <w:bodyDiv w:val="1"/>
      <w:marLeft w:val="0"/>
      <w:marRight w:val="0"/>
      <w:marTop w:val="0"/>
      <w:marBottom w:val="0"/>
      <w:divBdr>
        <w:top w:val="none" w:sz="0" w:space="0" w:color="auto"/>
        <w:left w:val="none" w:sz="0" w:space="0" w:color="auto"/>
        <w:bottom w:val="none" w:sz="0" w:space="0" w:color="auto"/>
        <w:right w:val="none" w:sz="0" w:space="0" w:color="auto"/>
      </w:divBdr>
    </w:div>
    <w:div w:id="438060835">
      <w:bodyDiv w:val="1"/>
      <w:marLeft w:val="0"/>
      <w:marRight w:val="0"/>
      <w:marTop w:val="0"/>
      <w:marBottom w:val="0"/>
      <w:divBdr>
        <w:top w:val="none" w:sz="0" w:space="0" w:color="auto"/>
        <w:left w:val="none" w:sz="0" w:space="0" w:color="auto"/>
        <w:bottom w:val="none" w:sz="0" w:space="0" w:color="auto"/>
        <w:right w:val="none" w:sz="0" w:space="0" w:color="auto"/>
      </w:divBdr>
    </w:div>
    <w:div w:id="648940714">
      <w:bodyDiv w:val="1"/>
      <w:marLeft w:val="0"/>
      <w:marRight w:val="0"/>
      <w:marTop w:val="0"/>
      <w:marBottom w:val="0"/>
      <w:divBdr>
        <w:top w:val="none" w:sz="0" w:space="0" w:color="auto"/>
        <w:left w:val="none" w:sz="0" w:space="0" w:color="auto"/>
        <w:bottom w:val="none" w:sz="0" w:space="0" w:color="auto"/>
        <w:right w:val="none" w:sz="0" w:space="0" w:color="auto"/>
      </w:divBdr>
    </w:div>
    <w:div w:id="910776270">
      <w:bodyDiv w:val="1"/>
      <w:marLeft w:val="0"/>
      <w:marRight w:val="0"/>
      <w:marTop w:val="0"/>
      <w:marBottom w:val="0"/>
      <w:divBdr>
        <w:top w:val="none" w:sz="0" w:space="0" w:color="auto"/>
        <w:left w:val="none" w:sz="0" w:space="0" w:color="auto"/>
        <w:bottom w:val="none" w:sz="0" w:space="0" w:color="auto"/>
        <w:right w:val="none" w:sz="0" w:space="0" w:color="auto"/>
      </w:divBdr>
    </w:div>
    <w:div w:id="1079794626">
      <w:bodyDiv w:val="1"/>
      <w:marLeft w:val="0"/>
      <w:marRight w:val="0"/>
      <w:marTop w:val="0"/>
      <w:marBottom w:val="0"/>
      <w:divBdr>
        <w:top w:val="none" w:sz="0" w:space="0" w:color="auto"/>
        <w:left w:val="none" w:sz="0" w:space="0" w:color="auto"/>
        <w:bottom w:val="none" w:sz="0" w:space="0" w:color="auto"/>
        <w:right w:val="none" w:sz="0" w:space="0" w:color="auto"/>
      </w:divBdr>
    </w:div>
    <w:div w:id="1530221366">
      <w:bodyDiv w:val="1"/>
      <w:marLeft w:val="0"/>
      <w:marRight w:val="0"/>
      <w:marTop w:val="0"/>
      <w:marBottom w:val="0"/>
      <w:divBdr>
        <w:top w:val="none" w:sz="0" w:space="0" w:color="auto"/>
        <w:left w:val="none" w:sz="0" w:space="0" w:color="auto"/>
        <w:bottom w:val="none" w:sz="0" w:space="0" w:color="auto"/>
        <w:right w:val="none" w:sz="0" w:space="0" w:color="auto"/>
      </w:divBdr>
    </w:div>
    <w:div w:id="174818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her.org/download/882/25-10-2021-final_aspher-climate-and-health-competencies-for-public-health-professionals-in-europe.pdf" TargetMode="External"/><Relationship Id="rId18" Type="http://schemas.openxmlformats.org/officeDocument/2006/relationships/hyperlink" Target="https://gsp.cgdev.org/legalpathway/sustainable-recruitment-of-nurses-triple-win/" TargetMode="External"/><Relationship Id="rId26" Type="http://schemas.openxmlformats.org/officeDocument/2006/relationships/hyperlink" Target="https://hope.be/EU_Projects/sepen/" TargetMode="External"/><Relationship Id="rId39" Type="http://schemas.openxmlformats.org/officeDocument/2006/relationships/hyperlink" Target="https://healthworkforce.eu/" TargetMode="External"/><Relationship Id="rId21" Type="http://schemas.openxmlformats.org/officeDocument/2006/relationships/hyperlink" Target="https://www.eahp.eu/practice-and-policy/workforce" TargetMode="External"/><Relationship Id="rId34" Type="http://schemas.openxmlformats.org/officeDocument/2006/relationships/hyperlink" Target="https://eur-lex.europa.eu/eli/dir/2005/36/oj" TargetMode="External"/><Relationship Id="rId42" Type="http://schemas.openxmlformats.org/officeDocument/2006/relationships/hyperlink" Target="https://doi.org/10.1016/j.ijnsa.2022.100066" TargetMode="External"/><Relationship Id="rId47" Type="http://schemas.openxmlformats.org/officeDocument/2006/relationships/hyperlink" Target="https://www.wemos.org/en/infographic-where-are-europes-health-workers-going/" TargetMode="External"/><Relationship Id="rId50" Type="http://schemas.openxmlformats.org/officeDocument/2006/relationships/hyperlink" Target="https://www.weforum.org/publications/global-risks-report-2024/" TargetMode="External"/><Relationship Id="rId55" Type="http://schemas.openxmlformats.org/officeDocument/2006/relationships/hyperlink" Target="https://www.who.int/europe/publications/i/item/978928905833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elgian-presidency.consilium.europa.eu/media/3kajw1io/programme_en.pdf" TargetMode="External"/><Relationship Id="rId29" Type="http://schemas.openxmlformats.org/officeDocument/2006/relationships/hyperlink" Target="https://eurohealthobservatory.who.int/publications/i/what-can-intersectoral-governance-do-to-strengthen-the-health-and-care-workforce-structures-and-mechanisms-to-improve-the-education-employment-and-retention-of-health-and-care-workers" TargetMode="External"/><Relationship Id="rId11" Type="http://schemas.openxmlformats.org/officeDocument/2006/relationships/hyperlink" Target="https://ahead.health/wp-content/uploads/2023/07/AHEAD_Call-to-Action_Lets-go-AHEAD-and-tackle-medical-deserts_May-2023.pdf" TargetMode="External"/><Relationship Id="rId24" Type="http://schemas.openxmlformats.org/officeDocument/2006/relationships/hyperlink" Target="https://health.ec.europa.eu/document/download/66d6601b-8a37-4d44-ae2b-3ba2f8f34f41_en?filename=state_2023_synthesis-report_en.pdf" TargetMode="External"/><Relationship Id="rId32" Type="http://schemas.openxmlformats.org/officeDocument/2006/relationships/hyperlink" Target="https://epha.org/wp-content/uploads/2023/11/2023_epha_strengthening-public-health-across-the-european-union.pdf" TargetMode="External"/><Relationship Id="rId37" Type="http://schemas.openxmlformats.org/officeDocument/2006/relationships/hyperlink" Target="https://www.ncbi.nlm.nih.gov/pmc/articles/PMC10028077/" TargetMode="External"/><Relationship Id="rId40" Type="http://schemas.openxmlformats.org/officeDocument/2006/relationships/hyperlink" Target="https://eurohealthobservatory.who.int/publications/i/a-europe-that-cares-prepares-protects-strengthening-the-eu-health-union-(eurohealth)" TargetMode="External"/><Relationship Id="rId45" Type="http://schemas.openxmlformats.org/officeDocument/2006/relationships/hyperlink" Target="https://migrationnetwork.un.org/projects/triple-win-programme" TargetMode="External"/><Relationship Id="rId53" Type="http://schemas.openxmlformats.org/officeDocument/2006/relationships/hyperlink" Target="https://www.who.int/publications/i/item/9789240052895"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www.staatvenz.nl/kerncijfers/apotheekhoudende-huisartsenpraktijken-aan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ontiersin.org/journals/psychiatry/articles/10.3389/fpsyt.2021.792925/full" TargetMode="External"/><Relationship Id="rId22" Type="http://schemas.openxmlformats.org/officeDocument/2006/relationships/hyperlink" Target="https://eur-lex.europa.eu/legal-content/EN/TXT/PDF/?uri=CELEX:52022DC0440" TargetMode="External"/><Relationship Id="rId27" Type="http://schemas.openxmlformats.org/officeDocument/2006/relationships/hyperlink" Target="https://eige.europa.eu/publications-resources/publications/gender-inequalities-care-and-consequences-labour-market" TargetMode="External"/><Relationship Id="rId30" Type="http://schemas.openxmlformats.org/officeDocument/2006/relationships/hyperlink" Target="https://iris.who.int/bitstream/handle/10665/366654/Policy-brief-54-1997-8073-eng.pdf?sequence=1" TargetMode="External"/><Relationship Id="rId35" Type="http://schemas.openxmlformats.org/officeDocument/2006/relationships/hyperlink" Target="https://eur-lex.europa.eu/legal-content/EN/TXT/PDF/?uri=CELEX:32019H0605(01)" TargetMode="External"/><Relationship Id="rId43" Type="http://schemas.openxmlformats.org/officeDocument/2006/relationships/hyperlink" Target="https://www.healthyeurope.info/all-countries-have-workforce-issues/" TargetMode="External"/><Relationship Id="rId48" Type="http://schemas.openxmlformats.org/officeDocument/2006/relationships/hyperlink" Target="https://eurohealthobservatory.who.int/publications/i/a-europe-that-cares-prepares-protects-strengthening-the-eu-health-union-(eurohealth" TargetMode="External"/><Relationship Id="rId56" Type="http://schemas.openxmlformats.org/officeDocument/2006/relationships/hyperlink" Target="https://iris.who.int/handle/10665/372563" TargetMode="External"/><Relationship Id="rId8" Type="http://schemas.openxmlformats.org/officeDocument/2006/relationships/webSettings" Target="webSettings.xml"/><Relationship Id="rId51" Type="http://schemas.openxmlformats.org/officeDocument/2006/relationships/hyperlink" Target="https://apps.who.int/gb/ebwha/pdf_files/WHA63/A63_R16-en.pdf" TargetMode="External"/><Relationship Id="rId3" Type="http://schemas.openxmlformats.org/officeDocument/2006/relationships/customXml" Target="../customXml/item3.xml"/><Relationship Id="rId12" Type="http://schemas.openxmlformats.org/officeDocument/2006/relationships/hyperlink" Target="https://ahead.health/results/medical-desert/" TargetMode="External"/><Relationship Id="rId17" Type="http://schemas.openxmlformats.org/officeDocument/2006/relationships/hyperlink" Target="https://www.who.int/europe/publications/i/item/bucharest-declaration" TargetMode="External"/><Relationship Id="rId25" Type="http://schemas.openxmlformats.org/officeDocument/2006/relationships/hyperlink" Target="https://eur-lex.europa.eu/legal-content/EN/TXT/PDF/?uri=CELEX:52022IE1513" TargetMode="External"/><Relationship Id="rId33" Type="http://schemas.openxmlformats.org/officeDocument/2006/relationships/hyperlink" Target="https://www.esno.org/assets/files/ICN-NP-APNN_Position_Paper.pdf" TargetMode="External"/><Relationship Id="rId38" Type="http://schemas.openxmlformats.org/officeDocument/2006/relationships/hyperlink" Target="https://globalizationandhealth.biomedcentral.com/articles/10.1186/s12992-015-0128-6" TargetMode="External"/><Relationship Id="rId46" Type="http://schemas.openxmlformats.org/officeDocument/2006/relationships/hyperlink" Target="https://cstor.eu/venvnvs/2018/07/2018-07-17-Factsheet-VS-ENG.pdf" TargetMode="External"/><Relationship Id="rId59" Type="http://schemas.openxmlformats.org/officeDocument/2006/relationships/fontTable" Target="fontTable.xml"/><Relationship Id="rId20" Type="http://schemas.openxmlformats.org/officeDocument/2006/relationships/hyperlink" Target="https://www.eurocadres.eu/news/european-parliament-calls-for-a-directive-on-psychosocial-risks/" TargetMode="External"/><Relationship Id="rId41" Type="http://schemas.openxmlformats.org/officeDocument/2006/relationships/hyperlink" Target="https://sante.gouv.fr/systeme-de-sante/acces-territorial-aux-soins/article/l-infirmier-en-pratique-avancee" TargetMode="External"/><Relationship Id="rId54" Type="http://schemas.openxmlformats.org/officeDocument/2006/relationships/hyperlink" Target="https://iris.who.int/bitstream/handle/10665/346131/WHO-EURO-2017-3008-42766-59662-eng.pdf?sequence=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thelancet.com/journals/lanepe/article/PIIS2666-7762(23)00184-9/fulltext" TargetMode="External"/><Relationship Id="rId23" Type="http://schemas.openxmlformats.org/officeDocument/2006/relationships/hyperlink" Target="https://data.europa.eu/doi/10.2767/089698" TargetMode="External"/><Relationship Id="rId28" Type="http://schemas.openxmlformats.org/officeDocument/2006/relationships/hyperlink" Target="https://eurohealthobservatory.who.int/publications/m/enhancing-the-labour-market-for-health-and-care-workers" TargetMode="External"/><Relationship Id="rId36" Type="http://schemas.openxmlformats.org/officeDocument/2006/relationships/hyperlink" Target="https://eur-lex.europa.eu/legal-content/EN/TXT/PDF/?uri=CELEX:32022H1215(01)" TargetMode="External"/><Relationship Id="rId49" Type="http://schemas.openxmlformats.org/officeDocument/2006/relationships/hyperlink" Target="https://womeningh.org/great-resignation/" TargetMode="External"/><Relationship Id="rId57" Type="http://schemas.openxmlformats.org/officeDocument/2006/relationships/hyperlink" Target="https://iris.who.int/bitstream/handle/10665/372887/Eurohealth-29-1-6-10-eng.pdf?sequence=1&amp;isAllowed=y" TargetMode="External"/><Relationship Id="rId10" Type="http://schemas.openxmlformats.org/officeDocument/2006/relationships/endnotes" Target="endnotes.xml"/><Relationship Id="rId31" Type="http://schemas.openxmlformats.org/officeDocument/2006/relationships/hyperlink" Target="https://eurohealthobservatory.who.int/publications/i/strengthening-primary-care-in-europe-how-to-increase-the-attractiveness-of-primary-care-for-medical-students-and-primary-care-physicians" TargetMode="External"/><Relationship Id="rId44" Type="http://schemas.openxmlformats.org/officeDocument/2006/relationships/hyperlink" Target="https://www.ncbi.nlm.nih.gov/pmc/articles/PMC6332889/" TargetMode="External"/><Relationship Id="rId52" Type="http://schemas.openxmlformats.org/officeDocument/2006/relationships/hyperlink" Target="https://www.who.int/publications/i/item/9789241515467"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wemos.org/en/infographic-where-are-europes-health-workers-going/" TargetMode="External"/><Relationship Id="rId18" Type="http://schemas.openxmlformats.org/officeDocument/2006/relationships/hyperlink" Target="https://data.europa.eu/doi/10.2767/089698" TargetMode="External"/><Relationship Id="rId26" Type="http://schemas.openxmlformats.org/officeDocument/2006/relationships/hyperlink" Target="https://iris.who.int/bitstream/handle/10665/346131/WHO-EURO-2017-3008-42766-59662-eng.pdf?sequence=2" TargetMode="External"/><Relationship Id="rId39" Type="http://schemas.openxmlformats.org/officeDocument/2006/relationships/hyperlink" Target="https://ahead.health/wp-content/uploads/2023/07/AHEAD_Call-to-Action_Lets-go-AHEAD-and-tackle-medical-deserts_May-2023.pdf" TargetMode="External"/><Relationship Id="rId21" Type="http://schemas.openxmlformats.org/officeDocument/2006/relationships/hyperlink" Target="https://cstor.eu/venvnvs/2018/07/2018-07-17-Factsheet-VS-ENG.pdf" TargetMode="External"/><Relationship Id="rId34" Type="http://schemas.openxmlformats.org/officeDocument/2006/relationships/hyperlink" Target="https://www.ncbi.nlm.nih.gov/pmc/articles/PMC10028077/" TargetMode="External"/><Relationship Id="rId42" Type="http://schemas.openxmlformats.org/officeDocument/2006/relationships/hyperlink" Target="https://eurohealthobservatory.who.int/publications/i/a-europe-that-cares-prepares-protects-strengthening-the-eu-health-union-(eurohealth)" TargetMode="External"/><Relationship Id="rId47" Type="http://schemas.openxmlformats.org/officeDocument/2006/relationships/hyperlink" Target="https://epha.org/wp-content/uploads/2023/11/2023_epha_strengthening-public-health-across-the-european-union.pdf" TargetMode="External"/><Relationship Id="rId7" Type="http://schemas.openxmlformats.org/officeDocument/2006/relationships/hyperlink" Target="https://iris.who.int/bitstream/handle/10665/372887/Eurohealth-29-1-6-10-eng.pdf?sequence=1&amp;isAllowed=y" TargetMode="External"/><Relationship Id="rId2" Type="http://schemas.openxmlformats.org/officeDocument/2006/relationships/hyperlink" Target="https://www.healthyeurope.info/all-countries-have-workforce-issues/" TargetMode="External"/><Relationship Id="rId16" Type="http://schemas.openxmlformats.org/officeDocument/2006/relationships/hyperlink" Target="https://gsp.cgdev.org/legalpathway/sustainable-recruitment-of-nurses-triple-win/" TargetMode="External"/><Relationship Id="rId29" Type="http://schemas.openxmlformats.org/officeDocument/2006/relationships/hyperlink" Target="https://womeningh.org/great-resignation/" TargetMode="External"/><Relationship Id="rId1" Type="http://schemas.openxmlformats.org/officeDocument/2006/relationships/hyperlink" Target="https://www.who.int/europe/publications/i/item/bucharest-declaration" TargetMode="External"/><Relationship Id="rId6" Type="http://schemas.openxmlformats.org/officeDocument/2006/relationships/hyperlink" Target="https://health.ec.europa.eu/document/download/66d6601b-8a37-4d44-ae2b-3ba2f8f34f41_en?filename=state_2023_synthesis-report_en.pdf" TargetMode="External"/><Relationship Id="rId11" Type="http://schemas.openxmlformats.org/officeDocument/2006/relationships/hyperlink" Target="https://ahead.health/results/medical-desert/" TargetMode="External"/><Relationship Id="rId24" Type="http://schemas.openxmlformats.org/officeDocument/2006/relationships/hyperlink" Target="https://www.ncbi.nlm.nih.gov/pmc/articles/PMC6332889/" TargetMode="External"/><Relationship Id="rId32" Type="http://schemas.openxmlformats.org/officeDocument/2006/relationships/hyperlink" Target="https://www.who.int/publications/i/item/9789240052895" TargetMode="External"/><Relationship Id="rId37" Type="http://schemas.openxmlformats.org/officeDocument/2006/relationships/hyperlink" Target="https://hope.be/EU_Projects/sepen/" TargetMode="External"/><Relationship Id="rId40" Type="http://schemas.openxmlformats.org/officeDocument/2006/relationships/hyperlink" Target="https://eurohealthobservatory.who.int/publications/i/what-can-intersectoral-governance-do-to-strengthen-the-health-and-care-workforce-structures-and-mechanisms-to-improve-the-education-employment-and-retention-of-health-and-care-workers" TargetMode="External"/><Relationship Id="rId45" Type="http://schemas.openxmlformats.org/officeDocument/2006/relationships/hyperlink" Target="https://eur-lex.europa.eu/legal-content/EN/TXT/PDF/?uri=CELEX:32019H0605(01" TargetMode="External"/><Relationship Id="rId5" Type="http://schemas.openxmlformats.org/officeDocument/2006/relationships/hyperlink" Target="https://belgian-presidency.consilium.europa.eu/media/3kajw1io/programme_en.pdf" TargetMode="External"/><Relationship Id="rId15" Type="http://schemas.openxmlformats.org/officeDocument/2006/relationships/hyperlink" Target="https://migrationnetwork.un.org/projects/triple-win-programme" TargetMode="External"/><Relationship Id="rId23" Type="http://schemas.openxmlformats.org/officeDocument/2006/relationships/hyperlink" Target="https://eur-lex.europa.eu/eli/dir/2005/36/oj" TargetMode="External"/><Relationship Id="rId28" Type="http://schemas.openxmlformats.org/officeDocument/2006/relationships/hyperlink" Target="https://www.who.int/publications/i/item/9789241515467" TargetMode="External"/><Relationship Id="rId36" Type="http://schemas.openxmlformats.org/officeDocument/2006/relationships/hyperlink" Target="https://healthworkforce.eu/" TargetMode="External"/><Relationship Id="rId10" Type="http://schemas.openxmlformats.org/officeDocument/2006/relationships/hyperlink" Target="https://eurohealthobservatory.who.int/publications/m/enhancing-the-labour-market-for-health-and-care-workers" TargetMode="External"/><Relationship Id="rId19" Type="http://schemas.openxmlformats.org/officeDocument/2006/relationships/hyperlink" Target="https://www.staatvenz.nl/kerncijfers/apotheekhoudende-huisartsenpraktijken-aantal" TargetMode="External"/><Relationship Id="rId31" Type="http://schemas.openxmlformats.org/officeDocument/2006/relationships/hyperlink" Target="https://doi.org/10.1016/j.ijnsa.2022.100066" TargetMode="External"/><Relationship Id="rId44" Type="http://schemas.openxmlformats.org/officeDocument/2006/relationships/hyperlink" Target="https://eur-lex.europa.eu/legal-content/EN/TXT/PDF/?uri=CELEX:52022DC0440" TargetMode="External"/><Relationship Id="rId4" Type="http://schemas.openxmlformats.org/officeDocument/2006/relationships/hyperlink" Target="https://iris.who.int/handle/10665/372563" TargetMode="External"/><Relationship Id="rId9" Type="http://schemas.openxmlformats.org/officeDocument/2006/relationships/hyperlink" Target="https://www.thelancet.com/journals/lanepe/article/PIIS2666-7762(23)00184-9/fulltext" TargetMode="External"/><Relationship Id="rId14" Type="http://schemas.openxmlformats.org/officeDocument/2006/relationships/hyperlink" Target="https://iris.who.int/bitstream/handle/10665/366654/Policy-brief-54-1997-8073-eng.pdf?sequence=1" TargetMode="External"/><Relationship Id="rId22" Type="http://schemas.openxmlformats.org/officeDocument/2006/relationships/hyperlink" Target="https://www.esno.org/assets/files/ICN-NP-APNN_Position_Paper.pdf" TargetMode="External"/><Relationship Id="rId27" Type="http://schemas.openxmlformats.org/officeDocument/2006/relationships/hyperlink" Target="https://www.aspher.org/download/882/25-10-2021-final_aspher-climate-and-health-competencies-for-public-health-professionals-in-europe.pdf" TargetMode="External"/><Relationship Id="rId30" Type="http://schemas.openxmlformats.org/officeDocument/2006/relationships/hyperlink" Target="https://eige.europa.eu/publications-resources/publications/gender-inequalities-care-and-consequences-labour-market" TargetMode="External"/><Relationship Id="rId35" Type="http://schemas.openxmlformats.org/officeDocument/2006/relationships/hyperlink" Target="https://www.eurocadres.eu/news/european-parliament-calls-for-a-directive-on-psychosocial-risks/" TargetMode="External"/><Relationship Id="rId43" Type="http://schemas.openxmlformats.org/officeDocument/2006/relationships/hyperlink" Target="https://eurohealthobservatory.who.int/publications/i/strengthening-primary-care-in-europe-how-to-increase-the-attractiveness-of-primary-care-for-medical-students-and-primary-care-physicians" TargetMode="External"/><Relationship Id="rId8" Type="http://schemas.openxmlformats.org/officeDocument/2006/relationships/hyperlink" Target="https://www.eahp.eu/practice-and-policy/workforce" TargetMode="External"/><Relationship Id="rId3" Type="http://schemas.openxmlformats.org/officeDocument/2006/relationships/hyperlink" Target="https://eur-lex.europa.eu/legal-content/EN/TXT/PDF/?uri=CELEX:52022IE1513" TargetMode="External"/><Relationship Id="rId12" Type="http://schemas.openxmlformats.org/officeDocument/2006/relationships/hyperlink" Target="https://eurohealthobservatory.who.int/publications/i/a-europe-that-cares-prepares-protects-strengthening-the-eu-health-union-(eurohealth)" TargetMode="External"/><Relationship Id="rId17" Type="http://schemas.openxmlformats.org/officeDocument/2006/relationships/hyperlink" Target="https://apps.who.int/gb/ebwha/pdf_files/WHA63/A63_R16-en.pdf" TargetMode="External"/><Relationship Id="rId25" Type="http://schemas.openxmlformats.org/officeDocument/2006/relationships/hyperlink" Target="https://www.weforum.org/publications/global-risks-report-2024/" TargetMode="External"/><Relationship Id="rId33" Type="http://schemas.openxmlformats.org/officeDocument/2006/relationships/hyperlink" Target="https://www.frontiersin.org/journals/psychiatry/articles/10.3389/fpsyt.2021.792925/full" TargetMode="External"/><Relationship Id="rId38" Type="http://schemas.openxmlformats.org/officeDocument/2006/relationships/hyperlink" Target="https://globalizationandhealth.biomedcentral.com/articles/10.1186/s12992-015-0128-6" TargetMode="External"/><Relationship Id="rId46" Type="http://schemas.openxmlformats.org/officeDocument/2006/relationships/hyperlink" Target="https://eur-lex.europa.eu/legal-content/EN/TXT/PDF/?uri=CELEX:32022H1215(01" TargetMode="External"/><Relationship Id="rId20" Type="http://schemas.openxmlformats.org/officeDocument/2006/relationships/hyperlink" Target="https://sante.gouv.fr/systeme-de-sante/acces-territorial-aux-soins/article/l-infirmier-en-pratique-avancee" TargetMode="External"/><Relationship Id="rId41" Type="http://schemas.openxmlformats.org/officeDocument/2006/relationships/hyperlink" Target="https://www.who.int/europe/publications/i/item/9789289058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7796a9-9bd8-4af1-907c-ea53d47bb73a" xsi:nil="true"/>
    <lcf76f155ced4ddcb4097134ff3c332f xmlns="86687892-dbd4-405d-ac29-0c87b8b4d2d5">
      <Terms xmlns="http://schemas.microsoft.com/office/infopath/2007/PartnerControls"/>
    </lcf76f155ced4ddcb4097134ff3c332f>
    <SharedWithUsers xmlns="797796a9-9bd8-4af1-907c-ea53d47bb73a">
      <UserInfo>
        <DisplayName>Clementine Richer Delforge</DisplayName>
        <AccountId>712</AccountId>
        <AccountType/>
      </UserInfo>
      <UserInfo>
        <DisplayName>Claudia Mantovan</DisplayName>
        <AccountId>3166</AccountId>
        <AccountType/>
      </UserInfo>
      <UserInfo>
        <DisplayName>Tomas De Jong</DisplayName>
        <AccountId>257</AccountId>
        <AccountType/>
      </UserInfo>
      <UserInfo>
        <DisplayName>Raymond Gemen</DisplayName>
        <AccountId>88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E8AE523B64FC49AC0890FA3FD7CDBB" ma:contentTypeVersion="18" ma:contentTypeDescription="Crée un document." ma:contentTypeScope="" ma:versionID="966cd7f0d615e029be46151bb2af54c4">
  <xsd:schema xmlns:xsd="http://www.w3.org/2001/XMLSchema" xmlns:xs="http://www.w3.org/2001/XMLSchema" xmlns:p="http://schemas.microsoft.com/office/2006/metadata/properties" xmlns:ns2="86687892-dbd4-405d-ac29-0c87b8b4d2d5" xmlns:ns3="797796a9-9bd8-4af1-907c-ea53d47bb73a" targetNamespace="http://schemas.microsoft.com/office/2006/metadata/properties" ma:root="true" ma:fieldsID="784df7ca8951ddc41e8c11d5ac1da94d" ns2:_="" ns3:_="">
    <xsd:import namespace="86687892-dbd4-405d-ac29-0c87b8b4d2d5"/>
    <xsd:import namespace="797796a9-9bd8-4af1-907c-ea53d47bb7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87892-dbd4-405d-ac29-0c87b8b4d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4932fc4-9cd2-45f2-8d14-c4d95685bf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796a9-9bd8-4af1-907c-ea53d47bb73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b88c1502-46c2-4a3b-a13d-6da02703635e}" ma:internalName="TaxCatchAll" ma:showField="CatchAllData" ma:web="797796a9-9bd8-4af1-907c-ea53d47bb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B7C7B-0013-4FB9-988B-F5223622C413}">
  <ds:schemaRefs>
    <ds:schemaRef ds:uri="http://schemas.microsoft.com/sharepoint/v3/contenttype/forms"/>
  </ds:schemaRefs>
</ds:datastoreItem>
</file>

<file path=customXml/itemProps2.xml><?xml version="1.0" encoding="utf-8"?>
<ds:datastoreItem xmlns:ds="http://schemas.openxmlformats.org/officeDocument/2006/customXml" ds:itemID="{12FD9485-C497-4BB4-997D-BB90768CABD2}">
  <ds:schemaRefs>
    <ds:schemaRef ds:uri="http://schemas.microsoft.com/office/2006/metadata/properties"/>
    <ds:schemaRef ds:uri="http://schemas.microsoft.com/office/infopath/2007/PartnerControls"/>
    <ds:schemaRef ds:uri="797796a9-9bd8-4af1-907c-ea53d47bb73a"/>
    <ds:schemaRef ds:uri="86687892-dbd4-405d-ac29-0c87b8b4d2d5"/>
  </ds:schemaRefs>
</ds:datastoreItem>
</file>

<file path=customXml/itemProps3.xml><?xml version="1.0" encoding="utf-8"?>
<ds:datastoreItem xmlns:ds="http://schemas.openxmlformats.org/officeDocument/2006/customXml" ds:itemID="{7165EA92-28BC-4A3F-A1FF-A9698CF6E892}">
  <ds:schemaRefs>
    <ds:schemaRef ds:uri="http://schemas.openxmlformats.org/officeDocument/2006/bibliography"/>
  </ds:schemaRefs>
</ds:datastoreItem>
</file>

<file path=customXml/itemProps4.xml><?xml version="1.0" encoding="utf-8"?>
<ds:datastoreItem xmlns:ds="http://schemas.openxmlformats.org/officeDocument/2006/customXml" ds:itemID="{7377209E-C531-4197-B0FE-07D9C0D8C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87892-dbd4-405d-ac29-0c87b8b4d2d5"/>
    <ds:schemaRef ds:uri="797796a9-9bd8-4af1-907c-ea53d47bb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10278</Words>
  <Characters>58585</Characters>
  <Application>Microsoft Office Word</Application>
  <DocSecurity>4</DocSecurity>
  <Lines>488</Lines>
  <Paragraphs>137</Paragraphs>
  <ScaleCrop>false</ScaleCrop>
  <Company/>
  <LinksUpToDate>false</LinksUpToDate>
  <CharactersWithSpaces>68726</CharactersWithSpaces>
  <SharedDoc>false</SharedDoc>
  <HLinks>
    <vt:vector size="672" baseType="variant">
      <vt:variant>
        <vt:i4>7405692</vt:i4>
      </vt:variant>
      <vt:variant>
        <vt:i4>258</vt:i4>
      </vt:variant>
      <vt:variant>
        <vt:i4>0</vt:i4>
      </vt:variant>
      <vt:variant>
        <vt:i4>5</vt:i4>
      </vt:variant>
      <vt:variant>
        <vt:lpwstr>https://iris.who.int/bitstream/handle/10665/372887/Eurohealth-29-1-6-10-eng.pdf?sequence=1&amp;isAllowed=y</vt:lpwstr>
      </vt:variant>
      <vt:variant>
        <vt:lpwstr/>
      </vt:variant>
      <vt:variant>
        <vt:i4>4718604</vt:i4>
      </vt:variant>
      <vt:variant>
        <vt:i4>255</vt:i4>
      </vt:variant>
      <vt:variant>
        <vt:i4>0</vt:i4>
      </vt:variant>
      <vt:variant>
        <vt:i4>5</vt:i4>
      </vt:variant>
      <vt:variant>
        <vt:lpwstr>https://iris.who.int/handle/10665/372563</vt:lpwstr>
      </vt:variant>
      <vt:variant>
        <vt:lpwstr/>
      </vt:variant>
      <vt:variant>
        <vt:i4>65624</vt:i4>
      </vt:variant>
      <vt:variant>
        <vt:i4>252</vt:i4>
      </vt:variant>
      <vt:variant>
        <vt:i4>0</vt:i4>
      </vt:variant>
      <vt:variant>
        <vt:i4>5</vt:i4>
      </vt:variant>
      <vt:variant>
        <vt:lpwstr>https://www.who.int/europe/publications/i/item/9789289058339</vt:lpwstr>
      </vt:variant>
      <vt:variant>
        <vt:lpwstr/>
      </vt:variant>
      <vt:variant>
        <vt:i4>1376340</vt:i4>
      </vt:variant>
      <vt:variant>
        <vt:i4>249</vt:i4>
      </vt:variant>
      <vt:variant>
        <vt:i4>0</vt:i4>
      </vt:variant>
      <vt:variant>
        <vt:i4>5</vt:i4>
      </vt:variant>
      <vt:variant>
        <vt:lpwstr>https://iris.who.int/bitstream/handle/10665/346131/WHO-EURO-2017-3008-42766-59662-eng.pdf?sequence=2</vt:lpwstr>
      </vt:variant>
      <vt:variant>
        <vt:lpwstr/>
      </vt:variant>
      <vt:variant>
        <vt:i4>1441871</vt:i4>
      </vt:variant>
      <vt:variant>
        <vt:i4>246</vt:i4>
      </vt:variant>
      <vt:variant>
        <vt:i4>0</vt:i4>
      </vt:variant>
      <vt:variant>
        <vt:i4>5</vt:i4>
      </vt:variant>
      <vt:variant>
        <vt:lpwstr>https://www.who.int/publications/i/item/9789240052895</vt:lpwstr>
      </vt:variant>
      <vt:variant>
        <vt:lpwstr/>
      </vt:variant>
      <vt:variant>
        <vt:i4>1769542</vt:i4>
      </vt:variant>
      <vt:variant>
        <vt:i4>243</vt:i4>
      </vt:variant>
      <vt:variant>
        <vt:i4>0</vt:i4>
      </vt:variant>
      <vt:variant>
        <vt:i4>5</vt:i4>
      </vt:variant>
      <vt:variant>
        <vt:lpwstr>https://www.who.int/publications/i/item/9789241515467</vt:lpwstr>
      </vt:variant>
      <vt:variant>
        <vt:lpwstr/>
      </vt:variant>
      <vt:variant>
        <vt:i4>1966106</vt:i4>
      </vt:variant>
      <vt:variant>
        <vt:i4>240</vt:i4>
      </vt:variant>
      <vt:variant>
        <vt:i4>0</vt:i4>
      </vt:variant>
      <vt:variant>
        <vt:i4>5</vt:i4>
      </vt:variant>
      <vt:variant>
        <vt:lpwstr>https://apps.who.int/gb/ebwha/pdf_files/WHA63/A63_R16-en.pdf</vt:lpwstr>
      </vt:variant>
      <vt:variant>
        <vt:lpwstr/>
      </vt:variant>
      <vt:variant>
        <vt:i4>7077949</vt:i4>
      </vt:variant>
      <vt:variant>
        <vt:i4>237</vt:i4>
      </vt:variant>
      <vt:variant>
        <vt:i4>0</vt:i4>
      </vt:variant>
      <vt:variant>
        <vt:i4>5</vt:i4>
      </vt:variant>
      <vt:variant>
        <vt:lpwstr>https://www.weforum.org/publications/global-risks-report-2024/</vt:lpwstr>
      </vt:variant>
      <vt:variant>
        <vt:lpwstr/>
      </vt:variant>
      <vt:variant>
        <vt:i4>917580</vt:i4>
      </vt:variant>
      <vt:variant>
        <vt:i4>234</vt:i4>
      </vt:variant>
      <vt:variant>
        <vt:i4>0</vt:i4>
      </vt:variant>
      <vt:variant>
        <vt:i4>5</vt:i4>
      </vt:variant>
      <vt:variant>
        <vt:lpwstr>https://womeningh.org/great-resignation/</vt:lpwstr>
      </vt:variant>
      <vt:variant>
        <vt:lpwstr/>
      </vt:variant>
      <vt:variant>
        <vt:i4>5832797</vt:i4>
      </vt:variant>
      <vt:variant>
        <vt:i4>231</vt:i4>
      </vt:variant>
      <vt:variant>
        <vt:i4>0</vt:i4>
      </vt:variant>
      <vt:variant>
        <vt:i4>5</vt:i4>
      </vt:variant>
      <vt:variant>
        <vt:lpwstr>https://eurohealthobservatory.who.int/publications/i/a-europe-that-cares-prepares-protects-strengthening-the-eu-health-union-(eurohealth</vt:lpwstr>
      </vt:variant>
      <vt:variant>
        <vt:lpwstr/>
      </vt:variant>
      <vt:variant>
        <vt:i4>2031629</vt:i4>
      </vt:variant>
      <vt:variant>
        <vt:i4>228</vt:i4>
      </vt:variant>
      <vt:variant>
        <vt:i4>0</vt:i4>
      </vt:variant>
      <vt:variant>
        <vt:i4>5</vt:i4>
      </vt:variant>
      <vt:variant>
        <vt:lpwstr>https://www.wemos.org/en/infographic-where-are-europes-health-workers-going/</vt:lpwstr>
      </vt:variant>
      <vt:variant>
        <vt:lpwstr/>
      </vt:variant>
      <vt:variant>
        <vt:i4>2031624</vt:i4>
      </vt:variant>
      <vt:variant>
        <vt:i4>225</vt:i4>
      </vt:variant>
      <vt:variant>
        <vt:i4>0</vt:i4>
      </vt:variant>
      <vt:variant>
        <vt:i4>5</vt:i4>
      </vt:variant>
      <vt:variant>
        <vt:lpwstr>https://cstor.eu/venvnvs/2018/07/2018-07-17-Factsheet-VS-ENG.pdf</vt:lpwstr>
      </vt:variant>
      <vt:variant>
        <vt:lpwstr/>
      </vt:variant>
      <vt:variant>
        <vt:i4>91</vt:i4>
      </vt:variant>
      <vt:variant>
        <vt:i4>222</vt:i4>
      </vt:variant>
      <vt:variant>
        <vt:i4>0</vt:i4>
      </vt:variant>
      <vt:variant>
        <vt:i4>5</vt:i4>
      </vt:variant>
      <vt:variant>
        <vt:lpwstr>https://migrationnetwork.un.org/projects/triple-win-programme</vt:lpwstr>
      </vt:variant>
      <vt:variant>
        <vt:lpwstr/>
      </vt:variant>
      <vt:variant>
        <vt:i4>1048651</vt:i4>
      </vt:variant>
      <vt:variant>
        <vt:i4>219</vt:i4>
      </vt:variant>
      <vt:variant>
        <vt:i4>0</vt:i4>
      </vt:variant>
      <vt:variant>
        <vt:i4>5</vt:i4>
      </vt:variant>
      <vt:variant>
        <vt:lpwstr>https://www.ncbi.nlm.nih.gov/pmc/articles/PMC6332889/</vt:lpwstr>
      </vt:variant>
      <vt:variant>
        <vt:lpwstr/>
      </vt:variant>
      <vt:variant>
        <vt:i4>7798894</vt:i4>
      </vt:variant>
      <vt:variant>
        <vt:i4>216</vt:i4>
      </vt:variant>
      <vt:variant>
        <vt:i4>0</vt:i4>
      </vt:variant>
      <vt:variant>
        <vt:i4>5</vt:i4>
      </vt:variant>
      <vt:variant>
        <vt:lpwstr>https://www.healthyeurope.info/all-countries-have-workforce-issues/</vt:lpwstr>
      </vt:variant>
      <vt:variant>
        <vt:lpwstr/>
      </vt:variant>
      <vt:variant>
        <vt:i4>4063358</vt:i4>
      </vt:variant>
      <vt:variant>
        <vt:i4>213</vt:i4>
      </vt:variant>
      <vt:variant>
        <vt:i4>0</vt:i4>
      </vt:variant>
      <vt:variant>
        <vt:i4>5</vt:i4>
      </vt:variant>
      <vt:variant>
        <vt:lpwstr>https://doi.org/10.1016/j.ijnsa.2022.100066</vt:lpwstr>
      </vt:variant>
      <vt:variant>
        <vt:lpwstr/>
      </vt:variant>
      <vt:variant>
        <vt:i4>7012449</vt:i4>
      </vt:variant>
      <vt:variant>
        <vt:i4>210</vt:i4>
      </vt:variant>
      <vt:variant>
        <vt:i4>0</vt:i4>
      </vt:variant>
      <vt:variant>
        <vt:i4>5</vt:i4>
      </vt:variant>
      <vt:variant>
        <vt:lpwstr>https://sante.gouv.fr/systeme-de-sante/acces-territorial-aux-soins/article/l-infirmier-en-pratique-avancee</vt:lpwstr>
      </vt:variant>
      <vt:variant>
        <vt:lpwstr/>
      </vt:variant>
      <vt:variant>
        <vt:i4>5832797</vt:i4>
      </vt:variant>
      <vt:variant>
        <vt:i4>207</vt:i4>
      </vt:variant>
      <vt:variant>
        <vt:i4>0</vt:i4>
      </vt:variant>
      <vt:variant>
        <vt:i4>5</vt:i4>
      </vt:variant>
      <vt:variant>
        <vt:lpwstr>https://eurohealthobservatory.who.int/publications/i/a-europe-that-cares-prepares-protects-strengthening-the-eu-health-union-(eurohealth)</vt:lpwstr>
      </vt:variant>
      <vt:variant>
        <vt:lpwstr/>
      </vt:variant>
      <vt:variant>
        <vt:i4>2293804</vt:i4>
      </vt:variant>
      <vt:variant>
        <vt:i4>204</vt:i4>
      </vt:variant>
      <vt:variant>
        <vt:i4>0</vt:i4>
      </vt:variant>
      <vt:variant>
        <vt:i4>5</vt:i4>
      </vt:variant>
      <vt:variant>
        <vt:lpwstr>https://healthworkforce.eu/</vt:lpwstr>
      </vt:variant>
      <vt:variant>
        <vt:lpwstr/>
      </vt:variant>
      <vt:variant>
        <vt:i4>3735609</vt:i4>
      </vt:variant>
      <vt:variant>
        <vt:i4>201</vt:i4>
      </vt:variant>
      <vt:variant>
        <vt:i4>0</vt:i4>
      </vt:variant>
      <vt:variant>
        <vt:i4>5</vt:i4>
      </vt:variant>
      <vt:variant>
        <vt:lpwstr>https://globalizationandhealth.biomedcentral.com/articles/10.1186/s12992-015-0128-6</vt:lpwstr>
      </vt:variant>
      <vt:variant>
        <vt:lpwstr/>
      </vt:variant>
      <vt:variant>
        <vt:i4>3473527</vt:i4>
      </vt:variant>
      <vt:variant>
        <vt:i4>198</vt:i4>
      </vt:variant>
      <vt:variant>
        <vt:i4>0</vt:i4>
      </vt:variant>
      <vt:variant>
        <vt:i4>5</vt:i4>
      </vt:variant>
      <vt:variant>
        <vt:lpwstr>https://www.ncbi.nlm.nih.gov/pmc/articles/PMC10028077/</vt:lpwstr>
      </vt:variant>
      <vt:variant>
        <vt:lpwstr/>
      </vt:variant>
      <vt:variant>
        <vt:i4>262161</vt:i4>
      </vt:variant>
      <vt:variant>
        <vt:i4>195</vt:i4>
      </vt:variant>
      <vt:variant>
        <vt:i4>0</vt:i4>
      </vt:variant>
      <vt:variant>
        <vt:i4>5</vt:i4>
      </vt:variant>
      <vt:variant>
        <vt:lpwstr>https://eur-lex.europa.eu/legal-content/EN/TXT/PDF/?uri=CELEX:32022H1215(01)</vt:lpwstr>
      </vt:variant>
      <vt:variant>
        <vt:lpwstr/>
      </vt:variant>
      <vt:variant>
        <vt:i4>196634</vt:i4>
      </vt:variant>
      <vt:variant>
        <vt:i4>192</vt:i4>
      </vt:variant>
      <vt:variant>
        <vt:i4>0</vt:i4>
      </vt:variant>
      <vt:variant>
        <vt:i4>5</vt:i4>
      </vt:variant>
      <vt:variant>
        <vt:lpwstr>https://eur-lex.europa.eu/legal-content/EN/TXT/PDF/?uri=CELEX:32019H0605(01)</vt:lpwstr>
      </vt:variant>
      <vt:variant>
        <vt:lpwstr/>
      </vt:variant>
      <vt:variant>
        <vt:i4>4522001</vt:i4>
      </vt:variant>
      <vt:variant>
        <vt:i4>189</vt:i4>
      </vt:variant>
      <vt:variant>
        <vt:i4>0</vt:i4>
      </vt:variant>
      <vt:variant>
        <vt:i4>5</vt:i4>
      </vt:variant>
      <vt:variant>
        <vt:lpwstr>https://eur-lex.europa.eu/eli/dir/2005/36/oj</vt:lpwstr>
      </vt:variant>
      <vt:variant>
        <vt:lpwstr/>
      </vt:variant>
      <vt:variant>
        <vt:i4>3997815</vt:i4>
      </vt:variant>
      <vt:variant>
        <vt:i4>186</vt:i4>
      </vt:variant>
      <vt:variant>
        <vt:i4>0</vt:i4>
      </vt:variant>
      <vt:variant>
        <vt:i4>5</vt:i4>
      </vt:variant>
      <vt:variant>
        <vt:lpwstr>https://www.esno.org/assets/files/ICN-NP-APNN_Position_Paper.pdf</vt:lpwstr>
      </vt:variant>
      <vt:variant>
        <vt:lpwstr/>
      </vt:variant>
      <vt:variant>
        <vt:i4>458837</vt:i4>
      </vt:variant>
      <vt:variant>
        <vt:i4>183</vt:i4>
      </vt:variant>
      <vt:variant>
        <vt:i4>0</vt:i4>
      </vt:variant>
      <vt:variant>
        <vt:i4>5</vt:i4>
      </vt:variant>
      <vt:variant>
        <vt:lpwstr>https://epha.org/wp-content/uploads/2023/11/2023_epha_strengthening-public-health-across-the-european-union.pdf</vt:lpwstr>
      </vt:variant>
      <vt:variant>
        <vt:lpwstr/>
      </vt:variant>
      <vt:variant>
        <vt:i4>5111835</vt:i4>
      </vt:variant>
      <vt:variant>
        <vt:i4>180</vt:i4>
      </vt:variant>
      <vt:variant>
        <vt:i4>0</vt:i4>
      </vt:variant>
      <vt:variant>
        <vt:i4>5</vt:i4>
      </vt:variant>
      <vt:variant>
        <vt:lpwstr>https://eurohealthobservatory.who.int/publications/i/strengthening-primary-care-in-europe-how-to-increase-the-attractiveness-of-primary-care-for-medical-students-and-primary-care-physicians</vt:lpwstr>
      </vt:variant>
      <vt:variant>
        <vt:lpwstr/>
      </vt:variant>
      <vt:variant>
        <vt:i4>7340068</vt:i4>
      </vt:variant>
      <vt:variant>
        <vt:i4>177</vt:i4>
      </vt:variant>
      <vt:variant>
        <vt:i4>0</vt:i4>
      </vt:variant>
      <vt:variant>
        <vt:i4>5</vt:i4>
      </vt:variant>
      <vt:variant>
        <vt:lpwstr>https://iris.who.int/bitstream/handle/10665/366654/Policy-brief-54-1997-8073-eng.pdf?sequence=1</vt:lpwstr>
      </vt:variant>
      <vt:variant>
        <vt:lpwstr/>
      </vt:variant>
      <vt:variant>
        <vt:i4>5046363</vt:i4>
      </vt:variant>
      <vt:variant>
        <vt:i4>174</vt:i4>
      </vt:variant>
      <vt:variant>
        <vt:i4>0</vt:i4>
      </vt:variant>
      <vt:variant>
        <vt:i4>5</vt:i4>
      </vt:variant>
      <vt:variant>
        <vt:lpwstr>https://eurohealthobservatory.who.int/publications/i/what-can-intersectoral-governance-do-to-strengthen-the-health-and-care-workforce-structures-and-mechanisms-to-improve-the-education-employment-and-retention-of-health-and-care-workers</vt:lpwstr>
      </vt:variant>
      <vt:variant>
        <vt:lpwstr/>
      </vt:variant>
      <vt:variant>
        <vt:i4>983046</vt:i4>
      </vt:variant>
      <vt:variant>
        <vt:i4>171</vt:i4>
      </vt:variant>
      <vt:variant>
        <vt:i4>0</vt:i4>
      </vt:variant>
      <vt:variant>
        <vt:i4>5</vt:i4>
      </vt:variant>
      <vt:variant>
        <vt:lpwstr>https://eurohealthobservatory.who.int/publications/m/enhancing-the-labour-market-for-health-and-care-workers</vt:lpwstr>
      </vt:variant>
      <vt:variant>
        <vt:lpwstr/>
      </vt:variant>
      <vt:variant>
        <vt:i4>3276927</vt:i4>
      </vt:variant>
      <vt:variant>
        <vt:i4>168</vt:i4>
      </vt:variant>
      <vt:variant>
        <vt:i4>0</vt:i4>
      </vt:variant>
      <vt:variant>
        <vt:i4>5</vt:i4>
      </vt:variant>
      <vt:variant>
        <vt:lpwstr>https://eige.europa.eu/publications-resources/publications/gender-inequalities-care-and-consequences-labour-market</vt:lpwstr>
      </vt:variant>
      <vt:variant>
        <vt:lpwstr/>
      </vt:variant>
      <vt:variant>
        <vt:i4>2949196</vt:i4>
      </vt:variant>
      <vt:variant>
        <vt:i4>165</vt:i4>
      </vt:variant>
      <vt:variant>
        <vt:i4>0</vt:i4>
      </vt:variant>
      <vt:variant>
        <vt:i4>5</vt:i4>
      </vt:variant>
      <vt:variant>
        <vt:lpwstr>https://hope.be/EU_Projects/sepen/</vt:lpwstr>
      </vt:variant>
      <vt:variant>
        <vt:lpwstr/>
      </vt:variant>
      <vt:variant>
        <vt:i4>1769566</vt:i4>
      </vt:variant>
      <vt:variant>
        <vt:i4>162</vt:i4>
      </vt:variant>
      <vt:variant>
        <vt:i4>0</vt:i4>
      </vt:variant>
      <vt:variant>
        <vt:i4>5</vt:i4>
      </vt:variant>
      <vt:variant>
        <vt:lpwstr>https://eur-lex.europa.eu/legal-content/EN/TXT/PDF/?uri=CELEX:52022IE1513</vt:lpwstr>
      </vt:variant>
      <vt:variant>
        <vt:lpwstr/>
      </vt:variant>
      <vt:variant>
        <vt:i4>6357030</vt:i4>
      </vt:variant>
      <vt:variant>
        <vt:i4>159</vt:i4>
      </vt:variant>
      <vt:variant>
        <vt:i4>0</vt:i4>
      </vt:variant>
      <vt:variant>
        <vt:i4>5</vt:i4>
      </vt:variant>
      <vt:variant>
        <vt:lpwstr>https://health.ec.europa.eu/document/download/66d6601b-8a37-4d44-ae2b-3ba2f8f34f41_en?filename=state_2023_synthesis-report_en.pdf</vt:lpwstr>
      </vt:variant>
      <vt:variant>
        <vt:lpwstr/>
      </vt:variant>
      <vt:variant>
        <vt:i4>983066</vt:i4>
      </vt:variant>
      <vt:variant>
        <vt:i4>156</vt:i4>
      </vt:variant>
      <vt:variant>
        <vt:i4>0</vt:i4>
      </vt:variant>
      <vt:variant>
        <vt:i4>5</vt:i4>
      </vt:variant>
      <vt:variant>
        <vt:lpwstr>https://data.europa.eu/doi/10.2767/089698</vt:lpwstr>
      </vt:variant>
      <vt:variant>
        <vt:lpwstr/>
      </vt:variant>
      <vt:variant>
        <vt:i4>1179737</vt:i4>
      </vt:variant>
      <vt:variant>
        <vt:i4>153</vt:i4>
      </vt:variant>
      <vt:variant>
        <vt:i4>0</vt:i4>
      </vt:variant>
      <vt:variant>
        <vt:i4>5</vt:i4>
      </vt:variant>
      <vt:variant>
        <vt:lpwstr>https://eur-lex.europa.eu/legal-content/EN/TXT/PDF/?uri=CELEX:52022DC0440</vt:lpwstr>
      </vt:variant>
      <vt:variant>
        <vt:lpwstr/>
      </vt:variant>
      <vt:variant>
        <vt:i4>5439504</vt:i4>
      </vt:variant>
      <vt:variant>
        <vt:i4>150</vt:i4>
      </vt:variant>
      <vt:variant>
        <vt:i4>0</vt:i4>
      </vt:variant>
      <vt:variant>
        <vt:i4>5</vt:i4>
      </vt:variant>
      <vt:variant>
        <vt:lpwstr>https://www.eahp.eu/practice-and-policy/workforce</vt:lpwstr>
      </vt:variant>
      <vt:variant>
        <vt:lpwstr/>
      </vt:variant>
      <vt:variant>
        <vt:i4>7143473</vt:i4>
      </vt:variant>
      <vt:variant>
        <vt:i4>147</vt:i4>
      </vt:variant>
      <vt:variant>
        <vt:i4>0</vt:i4>
      </vt:variant>
      <vt:variant>
        <vt:i4>5</vt:i4>
      </vt:variant>
      <vt:variant>
        <vt:lpwstr>https://www.eurocadres.eu/news/european-parliament-calls-for-a-directive-on-psychosocial-risks/</vt:lpwstr>
      </vt:variant>
      <vt:variant>
        <vt:lpwstr/>
      </vt:variant>
      <vt:variant>
        <vt:i4>4259848</vt:i4>
      </vt:variant>
      <vt:variant>
        <vt:i4>144</vt:i4>
      </vt:variant>
      <vt:variant>
        <vt:i4>0</vt:i4>
      </vt:variant>
      <vt:variant>
        <vt:i4>5</vt:i4>
      </vt:variant>
      <vt:variant>
        <vt:lpwstr>https://www.staatvenz.nl/kerncijfers/apotheekhoudende-huisartsenpraktijken-aantal</vt:lpwstr>
      </vt:variant>
      <vt:variant>
        <vt:lpwstr/>
      </vt:variant>
      <vt:variant>
        <vt:i4>1507418</vt:i4>
      </vt:variant>
      <vt:variant>
        <vt:i4>141</vt:i4>
      </vt:variant>
      <vt:variant>
        <vt:i4>0</vt:i4>
      </vt:variant>
      <vt:variant>
        <vt:i4>5</vt:i4>
      </vt:variant>
      <vt:variant>
        <vt:lpwstr>https://gsp.cgdev.org/legalpathway/sustainable-recruitment-of-nurses-triple-win/</vt:lpwstr>
      </vt:variant>
      <vt:variant>
        <vt:lpwstr/>
      </vt:variant>
      <vt:variant>
        <vt:i4>4521988</vt:i4>
      </vt:variant>
      <vt:variant>
        <vt:i4>138</vt:i4>
      </vt:variant>
      <vt:variant>
        <vt:i4>0</vt:i4>
      </vt:variant>
      <vt:variant>
        <vt:i4>5</vt:i4>
      </vt:variant>
      <vt:variant>
        <vt:lpwstr>https://www.who.int/europe/publications/i/item/bucharest-declaration</vt:lpwstr>
      </vt:variant>
      <vt:variant>
        <vt:lpwstr/>
      </vt:variant>
      <vt:variant>
        <vt:i4>4456497</vt:i4>
      </vt:variant>
      <vt:variant>
        <vt:i4>135</vt:i4>
      </vt:variant>
      <vt:variant>
        <vt:i4>0</vt:i4>
      </vt:variant>
      <vt:variant>
        <vt:i4>5</vt:i4>
      </vt:variant>
      <vt:variant>
        <vt:lpwstr>https://belgian-presidency.consilium.europa.eu/media/3kajw1io/programme_en.pdf</vt:lpwstr>
      </vt:variant>
      <vt:variant>
        <vt:lpwstr/>
      </vt:variant>
      <vt:variant>
        <vt:i4>2687025</vt:i4>
      </vt:variant>
      <vt:variant>
        <vt:i4>132</vt:i4>
      </vt:variant>
      <vt:variant>
        <vt:i4>0</vt:i4>
      </vt:variant>
      <vt:variant>
        <vt:i4>5</vt:i4>
      </vt:variant>
      <vt:variant>
        <vt:lpwstr>https://www.thelancet.com/journals/lanepe/article/PIIS2666-7762(23)00184-9/fulltext</vt:lpwstr>
      </vt:variant>
      <vt:variant>
        <vt:lpwstr/>
      </vt:variant>
      <vt:variant>
        <vt:i4>6684776</vt:i4>
      </vt:variant>
      <vt:variant>
        <vt:i4>129</vt:i4>
      </vt:variant>
      <vt:variant>
        <vt:i4>0</vt:i4>
      </vt:variant>
      <vt:variant>
        <vt:i4>5</vt:i4>
      </vt:variant>
      <vt:variant>
        <vt:lpwstr>https://www.frontiersin.org/journals/psychiatry/articles/10.3389/fpsyt.2021.792925/full</vt:lpwstr>
      </vt:variant>
      <vt:variant>
        <vt:lpwstr/>
      </vt:variant>
      <vt:variant>
        <vt:i4>5177379</vt:i4>
      </vt:variant>
      <vt:variant>
        <vt:i4>126</vt:i4>
      </vt:variant>
      <vt:variant>
        <vt:i4>0</vt:i4>
      </vt:variant>
      <vt:variant>
        <vt:i4>5</vt:i4>
      </vt:variant>
      <vt:variant>
        <vt:lpwstr>https://www.aspher.org/download/882/25-10-2021-final_aspher-climate-and-health-competencies-for-public-health-professionals-in-europe.pdf</vt:lpwstr>
      </vt:variant>
      <vt:variant>
        <vt:lpwstr/>
      </vt:variant>
      <vt:variant>
        <vt:i4>327693</vt:i4>
      </vt:variant>
      <vt:variant>
        <vt:i4>123</vt:i4>
      </vt:variant>
      <vt:variant>
        <vt:i4>0</vt:i4>
      </vt:variant>
      <vt:variant>
        <vt:i4>5</vt:i4>
      </vt:variant>
      <vt:variant>
        <vt:lpwstr>https://ahead.health/results/medical-desert/</vt:lpwstr>
      </vt:variant>
      <vt:variant>
        <vt:lpwstr/>
      </vt:variant>
      <vt:variant>
        <vt:i4>2228255</vt:i4>
      </vt:variant>
      <vt:variant>
        <vt:i4>120</vt:i4>
      </vt:variant>
      <vt:variant>
        <vt:i4>0</vt:i4>
      </vt:variant>
      <vt:variant>
        <vt:i4>5</vt:i4>
      </vt:variant>
      <vt:variant>
        <vt:lpwstr>https://ahead.health/wp-content/uploads/2023/07/AHEAD_Call-to-Action_Lets-go-AHEAD-and-tackle-medical-deserts_May-2023.pdf</vt:lpwstr>
      </vt:variant>
      <vt:variant>
        <vt:lpwstr/>
      </vt:variant>
      <vt:variant>
        <vt:i4>1507390</vt:i4>
      </vt:variant>
      <vt:variant>
        <vt:i4>104</vt:i4>
      </vt:variant>
      <vt:variant>
        <vt:i4>0</vt:i4>
      </vt:variant>
      <vt:variant>
        <vt:i4>5</vt:i4>
      </vt:variant>
      <vt:variant>
        <vt:lpwstr/>
      </vt:variant>
      <vt:variant>
        <vt:lpwstr>_Toc159502627</vt:lpwstr>
      </vt:variant>
      <vt:variant>
        <vt:i4>1507390</vt:i4>
      </vt:variant>
      <vt:variant>
        <vt:i4>98</vt:i4>
      </vt:variant>
      <vt:variant>
        <vt:i4>0</vt:i4>
      </vt:variant>
      <vt:variant>
        <vt:i4>5</vt:i4>
      </vt:variant>
      <vt:variant>
        <vt:lpwstr/>
      </vt:variant>
      <vt:variant>
        <vt:lpwstr>_Toc159502626</vt:lpwstr>
      </vt:variant>
      <vt:variant>
        <vt:i4>1507390</vt:i4>
      </vt:variant>
      <vt:variant>
        <vt:i4>92</vt:i4>
      </vt:variant>
      <vt:variant>
        <vt:i4>0</vt:i4>
      </vt:variant>
      <vt:variant>
        <vt:i4>5</vt:i4>
      </vt:variant>
      <vt:variant>
        <vt:lpwstr/>
      </vt:variant>
      <vt:variant>
        <vt:lpwstr>_Toc159502625</vt:lpwstr>
      </vt:variant>
      <vt:variant>
        <vt:i4>1507390</vt:i4>
      </vt:variant>
      <vt:variant>
        <vt:i4>86</vt:i4>
      </vt:variant>
      <vt:variant>
        <vt:i4>0</vt:i4>
      </vt:variant>
      <vt:variant>
        <vt:i4>5</vt:i4>
      </vt:variant>
      <vt:variant>
        <vt:lpwstr/>
      </vt:variant>
      <vt:variant>
        <vt:lpwstr>_Toc159502624</vt:lpwstr>
      </vt:variant>
      <vt:variant>
        <vt:i4>1507390</vt:i4>
      </vt:variant>
      <vt:variant>
        <vt:i4>80</vt:i4>
      </vt:variant>
      <vt:variant>
        <vt:i4>0</vt:i4>
      </vt:variant>
      <vt:variant>
        <vt:i4>5</vt:i4>
      </vt:variant>
      <vt:variant>
        <vt:lpwstr/>
      </vt:variant>
      <vt:variant>
        <vt:lpwstr>_Toc159502623</vt:lpwstr>
      </vt:variant>
      <vt:variant>
        <vt:i4>1507390</vt:i4>
      </vt:variant>
      <vt:variant>
        <vt:i4>74</vt:i4>
      </vt:variant>
      <vt:variant>
        <vt:i4>0</vt:i4>
      </vt:variant>
      <vt:variant>
        <vt:i4>5</vt:i4>
      </vt:variant>
      <vt:variant>
        <vt:lpwstr/>
      </vt:variant>
      <vt:variant>
        <vt:lpwstr>_Toc159502622</vt:lpwstr>
      </vt:variant>
      <vt:variant>
        <vt:i4>1507390</vt:i4>
      </vt:variant>
      <vt:variant>
        <vt:i4>68</vt:i4>
      </vt:variant>
      <vt:variant>
        <vt:i4>0</vt:i4>
      </vt:variant>
      <vt:variant>
        <vt:i4>5</vt:i4>
      </vt:variant>
      <vt:variant>
        <vt:lpwstr/>
      </vt:variant>
      <vt:variant>
        <vt:lpwstr>_Toc159502621</vt:lpwstr>
      </vt:variant>
      <vt:variant>
        <vt:i4>1507390</vt:i4>
      </vt:variant>
      <vt:variant>
        <vt:i4>62</vt:i4>
      </vt:variant>
      <vt:variant>
        <vt:i4>0</vt:i4>
      </vt:variant>
      <vt:variant>
        <vt:i4>5</vt:i4>
      </vt:variant>
      <vt:variant>
        <vt:lpwstr/>
      </vt:variant>
      <vt:variant>
        <vt:lpwstr>_Toc159502620</vt:lpwstr>
      </vt:variant>
      <vt:variant>
        <vt:i4>1310782</vt:i4>
      </vt:variant>
      <vt:variant>
        <vt:i4>56</vt:i4>
      </vt:variant>
      <vt:variant>
        <vt:i4>0</vt:i4>
      </vt:variant>
      <vt:variant>
        <vt:i4>5</vt:i4>
      </vt:variant>
      <vt:variant>
        <vt:lpwstr/>
      </vt:variant>
      <vt:variant>
        <vt:lpwstr>_Toc159502619</vt:lpwstr>
      </vt:variant>
      <vt:variant>
        <vt:i4>1310782</vt:i4>
      </vt:variant>
      <vt:variant>
        <vt:i4>50</vt:i4>
      </vt:variant>
      <vt:variant>
        <vt:i4>0</vt:i4>
      </vt:variant>
      <vt:variant>
        <vt:i4>5</vt:i4>
      </vt:variant>
      <vt:variant>
        <vt:lpwstr/>
      </vt:variant>
      <vt:variant>
        <vt:lpwstr>_Toc159502618</vt:lpwstr>
      </vt:variant>
      <vt:variant>
        <vt:i4>1310782</vt:i4>
      </vt:variant>
      <vt:variant>
        <vt:i4>44</vt:i4>
      </vt:variant>
      <vt:variant>
        <vt:i4>0</vt:i4>
      </vt:variant>
      <vt:variant>
        <vt:i4>5</vt:i4>
      </vt:variant>
      <vt:variant>
        <vt:lpwstr/>
      </vt:variant>
      <vt:variant>
        <vt:lpwstr>_Toc159502617</vt:lpwstr>
      </vt:variant>
      <vt:variant>
        <vt:i4>1310782</vt:i4>
      </vt:variant>
      <vt:variant>
        <vt:i4>38</vt:i4>
      </vt:variant>
      <vt:variant>
        <vt:i4>0</vt:i4>
      </vt:variant>
      <vt:variant>
        <vt:i4>5</vt:i4>
      </vt:variant>
      <vt:variant>
        <vt:lpwstr/>
      </vt:variant>
      <vt:variant>
        <vt:lpwstr>_Toc159502616</vt:lpwstr>
      </vt:variant>
      <vt:variant>
        <vt:i4>1310782</vt:i4>
      </vt:variant>
      <vt:variant>
        <vt:i4>32</vt:i4>
      </vt:variant>
      <vt:variant>
        <vt:i4>0</vt:i4>
      </vt:variant>
      <vt:variant>
        <vt:i4>5</vt:i4>
      </vt:variant>
      <vt:variant>
        <vt:lpwstr/>
      </vt:variant>
      <vt:variant>
        <vt:lpwstr>_Toc159502615</vt:lpwstr>
      </vt:variant>
      <vt:variant>
        <vt:i4>1310782</vt:i4>
      </vt:variant>
      <vt:variant>
        <vt:i4>26</vt:i4>
      </vt:variant>
      <vt:variant>
        <vt:i4>0</vt:i4>
      </vt:variant>
      <vt:variant>
        <vt:i4>5</vt:i4>
      </vt:variant>
      <vt:variant>
        <vt:lpwstr/>
      </vt:variant>
      <vt:variant>
        <vt:lpwstr>_Toc159502614</vt:lpwstr>
      </vt:variant>
      <vt:variant>
        <vt:i4>1310782</vt:i4>
      </vt:variant>
      <vt:variant>
        <vt:i4>20</vt:i4>
      </vt:variant>
      <vt:variant>
        <vt:i4>0</vt:i4>
      </vt:variant>
      <vt:variant>
        <vt:i4>5</vt:i4>
      </vt:variant>
      <vt:variant>
        <vt:lpwstr/>
      </vt:variant>
      <vt:variant>
        <vt:lpwstr>_Toc159502613</vt:lpwstr>
      </vt:variant>
      <vt:variant>
        <vt:i4>1310782</vt:i4>
      </vt:variant>
      <vt:variant>
        <vt:i4>14</vt:i4>
      </vt:variant>
      <vt:variant>
        <vt:i4>0</vt:i4>
      </vt:variant>
      <vt:variant>
        <vt:i4>5</vt:i4>
      </vt:variant>
      <vt:variant>
        <vt:lpwstr/>
      </vt:variant>
      <vt:variant>
        <vt:lpwstr>_Toc159502612</vt:lpwstr>
      </vt:variant>
      <vt:variant>
        <vt:i4>1310782</vt:i4>
      </vt:variant>
      <vt:variant>
        <vt:i4>8</vt:i4>
      </vt:variant>
      <vt:variant>
        <vt:i4>0</vt:i4>
      </vt:variant>
      <vt:variant>
        <vt:i4>5</vt:i4>
      </vt:variant>
      <vt:variant>
        <vt:lpwstr/>
      </vt:variant>
      <vt:variant>
        <vt:lpwstr>_Toc159502611</vt:lpwstr>
      </vt:variant>
      <vt:variant>
        <vt:i4>1310782</vt:i4>
      </vt:variant>
      <vt:variant>
        <vt:i4>2</vt:i4>
      </vt:variant>
      <vt:variant>
        <vt:i4>0</vt:i4>
      </vt:variant>
      <vt:variant>
        <vt:i4>5</vt:i4>
      </vt:variant>
      <vt:variant>
        <vt:lpwstr/>
      </vt:variant>
      <vt:variant>
        <vt:lpwstr>_Toc159502610</vt:lpwstr>
      </vt:variant>
      <vt:variant>
        <vt:i4>458837</vt:i4>
      </vt:variant>
      <vt:variant>
        <vt:i4>138</vt:i4>
      </vt:variant>
      <vt:variant>
        <vt:i4>0</vt:i4>
      </vt:variant>
      <vt:variant>
        <vt:i4>5</vt:i4>
      </vt:variant>
      <vt:variant>
        <vt:lpwstr>https://epha.org/wp-content/uploads/2023/11/2023_epha_strengthening-public-health-across-the-european-union.pdf</vt:lpwstr>
      </vt:variant>
      <vt:variant>
        <vt:lpwstr/>
      </vt:variant>
      <vt:variant>
        <vt:i4>2949152</vt:i4>
      </vt:variant>
      <vt:variant>
        <vt:i4>135</vt:i4>
      </vt:variant>
      <vt:variant>
        <vt:i4>0</vt:i4>
      </vt:variant>
      <vt:variant>
        <vt:i4>5</vt:i4>
      </vt:variant>
      <vt:variant>
        <vt:lpwstr>https://eur-lex.europa.eu/legal-content/EN/TXT/PDF/?uri=CELEX:32022H1215(01</vt:lpwstr>
      </vt:variant>
      <vt:variant>
        <vt:lpwstr/>
      </vt:variant>
      <vt:variant>
        <vt:i4>2752555</vt:i4>
      </vt:variant>
      <vt:variant>
        <vt:i4>132</vt:i4>
      </vt:variant>
      <vt:variant>
        <vt:i4>0</vt:i4>
      </vt:variant>
      <vt:variant>
        <vt:i4>5</vt:i4>
      </vt:variant>
      <vt:variant>
        <vt:lpwstr>https://eur-lex.europa.eu/legal-content/EN/TXT/PDF/?uri=CELEX:32019H0605(01</vt:lpwstr>
      </vt:variant>
      <vt:variant>
        <vt:lpwstr/>
      </vt:variant>
      <vt:variant>
        <vt:i4>1179737</vt:i4>
      </vt:variant>
      <vt:variant>
        <vt:i4>129</vt:i4>
      </vt:variant>
      <vt:variant>
        <vt:i4>0</vt:i4>
      </vt:variant>
      <vt:variant>
        <vt:i4>5</vt:i4>
      </vt:variant>
      <vt:variant>
        <vt:lpwstr>https://eur-lex.europa.eu/legal-content/EN/TXT/PDF/?uri=CELEX:52022DC0440</vt:lpwstr>
      </vt:variant>
      <vt:variant>
        <vt:lpwstr/>
      </vt:variant>
      <vt:variant>
        <vt:i4>5111835</vt:i4>
      </vt:variant>
      <vt:variant>
        <vt:i4>126</vt:i4>
      </vt:variant>
      <vt:variant>
        <vt:i4>0</vt:i4>
      </vt:variant>
      <vt:variant>
        <vt:i4>5</vt:i4>
      </vt:variant>
      <vt:variant>
        <vt:lpwstr>https://eurohealthobservatory.who.int/publications/i/strengthening-primary-care-in-europe-how-to-increase-the-attractiveness-of-primary-care-for-medical-students-and-primary-care-physicians</vt:lpwstr>
      </vt:variant>
      <vt:variant>
        <vt:lpwstr/>
      </vt:variant>
      <vt:variant>
        <vt:i4>5832797</vt:i4>
      </vt:variant>
      <vt:variant>
        <vt:i4>123</vt:i4>
      </vt:variant>
      <vt:variant>
        <vt:i4>0</vt:i4>
      </vt:variant>
      <vt:variant>
        <vt:i4>5</vt:i4>
      </vt:variant>
      <vt:variant>
        <vt:lpwstr>https://eurohealthobservatory.who.int/publications/i/a-europe-that-cares-prepares-protects-strengthening-the-eu-health-union-(eurohealth)</vt:lpwstr>
      </vt:variant>
      <vt:variant>
        <vt:lpwstr/>
      </vt:variant>
      <vt:variant>
        <vt:i4>65624</vt:i4>
      </vt:variant>
      <vt:variant>
        <vt:i4>120</vt:i4>
      </vt:variant>
      <vt:variant>
        <vt:i4>0</vt:i4>
      </vt:variant>
      <vt:variant>
        <vt:i4>5</vt:i4>
      </vt:variant>
      <vt:variant>
        <vt:lpwstr>https://www.who.int/europe/publications/i/item/9789289058339</vt:lpwstr>
      </vt:variant>
      <vt:variant>
        <vt:lpwstr/>
      </vt:variant>
      <vt:variant>
        <vt:i4>5046363</vt:i4>
      </vt:variant>
      <vt:variant>
        <vt:i4>117</vt:i4>
      </vt:variant>
      <vt:variant>
        <vt:i4>0</vt:i4>
      </vt:variant>
      <vt:variant>
        <vt:i4>5</vt:i4>
      </vt:variant>
      <vt:variant>
        <vt:lpwstr>https://eurohealthobservatory.who.int/publications/i/what-can-intersectoral-governance-do-to-strengthen-the-health-and-care-workforce-structures-and-mechanisms-to-improve-the-education-employment-and-retention-of-health-and-care-workers</vt:lpwstr>
      </vt:variant>
      <vt:variant>
        <vt:lpwstr/>
      </vt:variant>
      <vt:variant>
        <vt:i4>2228255</vt:i4>
      </vt:variant>
      <vt:variant>
        <vt:i4>114</vt:i4>
      </vt:variant>
      <vt:variant>
        <vt:i4>0</vt:i4>
      </vt:variant>
      <vt:variant>
        <vt:i4>5</vt:i4>
      </vt:variant>
      <vt:variant>
        <vt:lpwstr>https://ahead.health/wp-content/uploads/2023/07/AHEAD_Call-to-Action_Lets-go-AHEAD-and-tackle-medical-deserts_May-2023.pdf</vt:lpwstr>
      </vt:variant>
      <vt:variant>
        <vt:lpwstr/>
      </vt:variant>
      <vt:variant>
        <vt:i4>3735609</vt:i4>
      </vt:variant>
      <vt:variant>
        <vt:i4>111</vt:i4>
      </vt:variant>
      <vt:variant>
        <vt:i4>0</vt:i4>
      </vt:variant>
      <vt:variant>
        <vt:i4>5</vt:i4>
      </vt:variant>
      <vt:variant>
        <vt:lpwstr>https://globalizationandhealth.biomedcentral.com/articles/10.1186/s12992-015-0128-6</vt:lpwstr>
      </vt:variant>
      <vt:variant>
        <vt:lpwstr/>
      </vt:variant>
      <vt:variant>
        <vt:i4>2949196</vt:i4>
      </vt:variant>
      <vt:variant>
        <vt:i4>108</vt:i4>
      </vt:variant>
      <vt:variant>
        <vt:i4>0</vt:i4>
      </vt:variant>
      <vt:variant>
        <vt:i4>5</vt:i4>
      </vt:variant>
      <vt:variant>
        <vt:lpwstr>https://hope.be/EU_Projects/sepen/</vt:lpwstr>
      </vt:variant>
      <vt:variant>
        <vt:lpwstr/>
      </vt:variant>
      <vt:variant>
        <vt:i4>2293804</vt:i4>
      </vt:variant>
      <vt:variant>
        <vt:i4>105</vt:i4>
      </vt:variant>
      <vt:variant>
        <vt:i4>0</vt:i4>
      </vt:variant>
      <vt:variant>
        <vt:i4>5</vt:i4>
      </vt:variant>
      <vt:variant>
        <vt:lpwstr>https://healthworkforce.eu/</vt:lpwstr>
      </vt:variant>
      <vt:variant>
        <vt:lpwstr/>
      </vt:variant>
      <vt:variant>
        <vt:i4>7143473</vt:i4>
      </vt:variant>
      <vt:variant>
        <vt:i4>102</vt:i4>
      </vt:variant>
      <vt:variant>
        <vt:i4>0</vt:i4>
      </vt:variant>
      <vt:variant>
        <vt:i4>5</vt:i4>
      </vt:variant>
      <vt:variant>
        <vt:lpwstr>https://www.eurocadres.eu/news/european-parliament-calls-for-a-directive-on-psychosocial-risks/</vt:lpwstr>
      </vt:variant>
      <vt:variant>
        <vt:lpwstr/>
      </vt:variant>
      <vt:variant>
        <vt:i4>3473527</vt:i4>
      </vt:variant>
      <vt:variant>
        <vt:i4>99</vt:i4>
      </vt:variant>
      <vt:variant>
        <vt:i4>0</vt:i4>
      </vt:variant>
      <vt:variant>
        <vt:i4>5</vt:i4>
      </vt:variant>
      <vt:variant>
        <vt:lpwstr>https://www.ncbi.nlm.nih.gov/pmc/articles/PMC10028077/</vt:lpwstr>
      </vt:variant>
      <vt:variant>
        <vt:lpwstr/>
      </vt:variant>
      <vt:variant>
        <vt:i4>6684776</vt:i4>
      </vt:variant>
      <vt:variant>
        <vt:i4>96</vt:i4>
      </vt:variant>
      <vt:variant>
        <vt:i4>0</vt:i4>
      </vt:variant>
      <vt:variant>
        <vt:i4>5</vt:i4>
      </vt:variant>
      <vt:variant>
        <vt:lpwstr>https://www.frontiersin.org/journals/psychiatry/articles/10.3389/fpsyt.2021.792925/full</vt:lpwstr>
      </vt:variant>
      <vt:variant>
        <vt:lpwstr/>
      </vt:variant>
      <vt:variant>
        <vt:i4>1441871</vt:i4>
      </vt:variant>
      <vt:variant>
        <vt:i4>93</vt:i4>
      </vt:variant>
      <vt:variant>
        <vt:i4>0</vt:i4>
      </vt:variant>
      <vt:variant>
        <vt:i4>5</vt:i4>
      </vt:variant>
      <vt:variant>
        <vt:lpwstr>https://www.who.int/publications/i/item/9789240052895</vt:lpwstr>
      </vt:variant>
      <vt:variant>
        <vt:lpwstr/>
      </vt:variant>
      <vt:variant>
        <vt:i4>4063358</vt:i4>
      </vt:variant>
      <vt:variant>
        <vt:i4>90</vt:i4>
      </vt:variant>
      <vt:variant>
        <vt:i4>0</vt:i4>
      </vt:variant>
      <vt:variant>
        <vt:i4>5</vt:i4>
      </vt:variant>
      <vt:variant>
        <vt:lpwstr>https://doi.org/10.1016/j.ijnsa.2022.100066</vt:lpwstr>
      </vt:variant>
      <vt:variant>
        <vt:lpwstr/>
      </vt:variant>
      <vt:variant>
        <vt:i4>3276927</vt:i4>
      </vt:variant>
      <vt:variant>
        <vt:i4>87</vt:i4>
      </vt:variant>
      <vt:variant>
        <vt:i4>0</vt:i4>
      </vt:variant>
      <vt:variant>
        <vt:i4>5</vt:i4>
      </vt:variant>
      <vt:variant>
        <vt:lpwstr>https://eige.europa.eu/publications-resources/publications/gender-inequalities-care-and-consequences-labour-market</vt:lpwstr>
      </vt:variant>
      <vt:variant>
        <vt:lpwstr/>
      </vt:variant>
      <vt:variant>
        <vt:i4>917580</vt:i4>
      </vt:variant>
      <vt:variant>
        <vt:i4>84</vt:i4>
      </vt:variant>
      <vt:variant>
        <vt:i4>0</vt:i4>
      </vt:variant>
      <vt:variant>
        <vt:i4>5</vt:i4>
      </vt:variant>
      <vt:variant>
        <vt:lpwstr>https://womeningh.org/great-resignation/</vt:lpwstr>
      </vt:variant>
      <vt:variant>
        <vt:lpwstr/>
      </vt:variant>
      <vt:variant>
        <vt:i4>1769542</vt:i4>
      </vt:variant>
      <vt:variant>
        <vt:i4>81</vt:i4>
      </vt:variant>
      <vt:variant>
        <vt:i4>0</vt:i4>
      </vt:variant>
      <vt:variant>
        <vt:i4>5</vt:i4>
      </vt:variant>
      <vt:variant>
        <vt:lpwstr>https://www.who.int/publications/i/item/9789241515467</vt:lpwstr>
      </vt:variant>
      <vt:variant>
        <vt:lpwstr/>
      </vt:variant>
      <vt:variant>
        <vt:i4>5177379</vt:i4>
      </vt:variant>
      <vt:variant>
        <vt:i4>78</vt:i4>
      </vt:variant>
      <vt:variant>
        <vt:i4>0</vt:i4>
      </vt:variant>
      <vt:variant>
        <vt:i4>5</vt:i4>
      </vt:variant>
      <vt:variant>
        <vt:lpwstr>https://www.aspher.org/download/882/25-10-2021-final_aspher-climate-and-health-competencies-for-public-health-professionals-in-europe.pdf</vt:lpwstr>
      </vt:variant>
      <vt:variant>
        <vt:lpwstr/>
      </vt:variant>
      <vt:variant>
        <vt:i4>1376340</vt:i4>
      </vt:variant>
      <vt:variant>
        <vt:i4>75</vt:i4>
      </vt:variant>
      <vt:variant>
        <vt:i4>0</vt:i4>
      </vt:variant>
      <vt:variant>
        <vt:i4>5</vt:i4>
      </vt:variant>
      <vt:variant>
        <vt:lpwstr>https://iris.who.int/bitstream/handle/10665/346131/WHO-EURO-2017-3008-42766-59662-eng.pdf?sequence=2</vt:lpwstr>
      </vt:variant>
      <vt:variant>
        <vt:lpwstr/>
      </vt:variant>
      <vt:variant>
        <vt:i4>7077949</vt:i4>
      </vt:variant>
      <vt:variant>
        <vt:i4>72</vt:i4>
      </vt:variant>
      <vt:variant>
        <vt:i4>0</vt:i4>
      </vt:variant>
      <vt:variant>
        <vt:i4>5</vt:i4>
      </vt:variant>
      <vt:variant>
        <vt:lpwstr>https://www.weforum.org/publications/global-risks-report-2024/</vt:lpwstr>
      </vt:variant>
      <vt:variant>
        <vt:lpwstr/>
      </vt:variant>
      <vt:variant>
        <vt:i4>1048651</vt:i4>
      </vt:variant>
      <vt:variant>
        <vt:i4>69</vt:i4>
      </vt:variant>
      <vt:variant>
        <vt:i4>0</vt:i4>
      </vt:variant>
      <vt:variant>
        <vt:i4>5</vt:i4>
      </vt:variant>
      <vt:variant>
        <vt:lpwstr>https://www.ncbi.nlm.nih.gov/pmc/articles/PMC6332889/</vt:lpwstr>
      </vt:variant>
      <vt:variant>
        <vt:lpwstr/>
      </vt:variant>
      <vt:variant>
        <vt:i4>4522001</vt:i4>
      </vt:variant>
      <vt:variant>
        <vt:i4>66</vt:i4>
      </vt:variant>
      <vt:variant>
        <vt:i4>0</vt:i4>
      </vt:variant>
      <vt:variant>
        <vt:i4>5</vt:i4>
      </vt:variant>
      <vt:variant>
        <vt:lpwstr>https://eur-lex.europa.eu/eli/dir/2005/36/oj</vt:lpwstr>
      </vt:variant>
      <vt:variant>
        <vt:lpwstr/>
      </vt:variant>
      <vt:variant>
        <vt:i4>3997815</vt:i4>
      </vt:variant>
      <vt:variant>
        <vt:i4>63</vt:i4>
      </vt:variant>
      <vt:variant>
        <vt:i4>0</vt:i4>
      </vt:variant>
      <vt:variant>
        <vt:i4>5</vt:i4>
      </vt:variant>
      <vt:variant>
        <vt:lpwstr>https://www.esno.org/assets/files/ICN-NP-APNN_Position_Paper.pdf</vt:lpwstr>
      </vt:variant>
      <vt:variant>
        <vt:lpwstr/>
      </vt:variant>
      <vt:variant>
        <vt:i4>2031624</vt:i4>
      </vt:variant>
      <vt:variant>
        <vt:i4>60</vt:i4>
      </vt:variant>
      <vt:variant>
        <vt:i4>0</vt:i4>
      </vt:variant>
      <vt:variant>
        <vt:i4>5</vt:i4>
      </vt:variant>
      <vt:variant>
        <vt:lpwstr>https://cstor.eu/venvnvs/2018/07/2018-07-17-Factsheet-VS-ENG.pdf</vt:lpwstr>
      </vt:variant>
      <vt:variant>
        <vt:lpwstr/>
      </vt:variant>
      <vt:variant>
        <vt:i4>7012449</vt:i4>
      </vt:variant>
      <vt:variant>
        <vt:i4>57</vt:i4>
      </vt:variant>
      <vt:variant>
        <vt:i4>0</vt:i4>
      </vt:variant>
      <vt:variant>
        <vt:i4>5</vt:i4>
      </vt:variant>
      <vt:variant>
        <vt:lpwstr>https://sante.gouv.fr/systeme-de-sante/acces-territorial-aux-soins/article/l-infirmier-en-pratique-avancee</vt:lpwstr>
      </vt:variant>
      <vt:variant>
        <vt:lpwstr/>
      </vt:variant>
      <vt:variant>
        <vt:i4>4259848</vt:i4>
      </vt:variant>
      <vt:variant>
        <vt:i4>54</vt:i4>
      </vt:variant>
      <vt:variant>
        <vt:i4>0</vt:i4>
      </vt:variant>
      <vt:variant>
        <vt:i4>5</vt:i4>
      </vt:variant>
      <vt:variant>
        <vt:lpwstr>https://www.staatvenz.nl/kerncijfers/apotheekhoudende-huisartsenpraktijken-aantal</vt:lpwstr>
      </vt:variant>
      <vt:variant>
        <vt:lpwstr/>
      </vt:variant>
      <vt:variant>
        <vt:i4>983066</vt:i4>
      </vt:variant>
      <vt:variant>
        <vt:i4>51</vt:i4>
      </vt:variant>
      <vt:variant>
        <vt:i4>0</vt:i4>
      </vt:variant>
      <vt:variant>
        <vt:i4>5</vt:i4>
      </vt:variant>
      <vt:variant>
        <vt:lpwstr>https://data.europa.eu/doi/10.2767/089698</vt:lpwstr>
      </vt:variant>
      <vt:variant>
        <vt:lpwstr/>
      </vt:variant>
      <vt:variant>
        <vt:i4>1966106</vt:i4>
      </vt:variant>
      <vt:variant>
        <vt:i4>48</vt:i4>
      </vt:variant>
      <vt:variant>
        <vt:i4>0</vt:i4>
      </vt:variant>
      <vt:variant>
        <vt:i4>5</vt:i4>
      </vt:variant>
      <vt:variant>
        <vt:lpwstr>https://apps.who.int/gb/ebwha/pdf_files/WHA63/A63_R16-en.pdf</vt:lpwstr>
      </vt:variant>
      <vt:variant>
        <vt:lpwstr/>
      </vt:variant>
      <vt:variant>
        <vt:i4>1507418</vt:i4>
      </vt:variant>
      <vt:variant>
        <vt:i4>45</vt:i4>
      </vt:variant>
      <vt:variant>
        <vt:i4>0</vt:i4>
      </vt:variant>
      <vt:variant>
        <vt:i4>5</vt:i4>
      </vt:variant>
      <vt:variant>
        <vt:lpwstr>https://gsp.cgdev.org/legalpathway/sustainable-recruitment-of-nurses-triple-win/</vt:lpwstr>
      </vt:variant>
      <vt:variant>
        <vt:lpwstr/>
      </vt:variant>
      <vt:variant>
        <vt:i4>91</vt:i4>
      </vt:variant>
      <vt:variant>
        <vt:i4>42</vt:i4>
      </vt:variant>
      <vt:variant>
        <vt:i4>0</vt:i4>
      </vt:variant>
      <vt:variant>
        <vt:i4>5</vt:i4>
      </vt:variant>
      <vt:variant>
        <vt:lpwstr>https://migrationnetwork.un.org/projects/triple-win-programme</vt:lpwstr>
      </vt:variant>
      <vt:variant>
        <vt:lpwstr/>
      </vt:variant>
      <vt:variant>
        <vt:i4>7340068</vt:i4>
      </vt:variant>
      <vt:variant>
        <vt:i4>39</vt:i4>
      </vt:variant>
      <vt:variant>
        <vt:i4>0</vt:i4>
      </vt:variant>
      <vt:variant>
        <vt:i4>5</vt:i4>
      </vt:variant>
      <vt:variant>
        <vt:lpwstr>https://iris.who.int/bitstream/handle/10665/366654/Policy-brief-54-1997-8073-eng.pdf?sequence=1</vt:lpwstr>
      </vt:variant>
      <vt:variant>
        <vt:lpwstr/>
      </vt:variant>
      <vt:variant>
        <vt:i4>2031629</vt:i4>
      </vt:variant>
      <vt:variant>
        <vt:i4>36</vt:i4>
      </vt:variant>
      <vt:variant>
        <vt:i4>0</vt:i4>
      </vt:variant>
      <vt:variant>
        <vt:i4>5</vt:i4>
      </vt:variant>
      <vt:variant>
        <vt:lpwstr>https://www.wemos.org/en/infographic-where-are-europes-health-workers-going/</vt:lpwstr>
      </vt:variant>
      <vt:variant>
        <vt:lpwstr/>
      </vt:variant>
      <vt:variant>
        <vt:i4>5832797</vt:i4>
      </vt:variant>
      <vt:variant>
        <vt:i4>33</vt:i4>
      </vt:variant>
      <vt:variant>
        <vt:i4>0</vt:i4>
      </vt:variant>
      <vt:variant>
        <vt:i4>5</vt:i4>
      </vt:variant>
      <vt:variant>
        <vt:lpwstr>https://eurohealthobservatory.who.int/publications/i/a-europe-that-cares-prepares-protects-strengthening-the-eu-health-union-(eurohealth)</vt:lpwstr>
      </vt:variant>
      <vt:variant>
        <vt:lpwstr/>
      </vt:variant>
      <vt:variant>
        <vt:i4>327693</vt:i4>
      </vt:variant>
      <vt:variant>
        <vt:i4>30</vt:i4>
      </vt:variant>
      <vt:variant>
        <vt:i4>0</vt:i4>
      </vt:variant>
      <vt:variant>
        <vt:i4>5</vt:i4>
      </vt:variant>
      <vt:variant>
        <vt:lpwstr>https://ahead.health/results/medical-desert/</vt:lpwstr>
      </vt:variant>
      <vt:variant>
        <vt:lpwstr/>
      </vt:variant>
      <vt:variant>
        <vt:i4>983046</vt:i4>
      </vt:variant>
      <vt:variant>
        <vt:i4>27</vt:i4>
      </vt:variant>
      <vt:variant>
        <vt:i4>0</vt:i4>
      </vt:variant>
      <vt:variant>
        <vt:i4>5</vt:i4>
      </vt:variant>
      <vt:variant>
        <vt:lpwstr>https://eurohealthobservatory.who.int/publications/m/enhancing-the-labour-market-for-health-and-care-workers</vt:lpwstr>
      </vt:variant>
      <vt:variant>
        <vt:lpwstr/>
      </vt:variant>
      <vt:variant>
        <vt:i4>2687025</vt:i4>
      </vt:variant>
      <vt:variant>
        <vt:i4>24</vt:i4>
      </vt:variant>
      <vt:variant>
        <vt:i4>0</vt:i4>
      </vt:variant>
      <vt:variant>
        <vt:i4>5</vt:i4>
      </vt:variant>
      <vt:variant>
        <vt:lpwstr>https://www.thelancet.com/journals/lanepe/article/PIIS2666-7762(23)00184-9/fulltext</vt:lpwstr>
      </vt:variant>
      <vt:variant>
        <vt:lpwstr/>
      </vt:variant>
      <vt:variant>
        <vt:i4>5439504</vt:i4>
      </vt:variant>
      <vt:variant>
        <vt:i4>21</vt:i4>
      </vt:variant>
      <vt:variant>
        <vt:i4>0</vt:i4>
      </vt:variant>
      <vt:variant>
        <vt:i4>5</vt:i4>
      </vt:variant>
      <vt:variant>
        <vt:lpwstr>https://www.eahp.eu/practice-and-policy/workforce</vt:lpwstr>
      </vt:variant>
      <vt:variant>
        <vt:lpwstr/>
      </vt:variant>
      <vt:variant>
        <vt:i4>7405692</vt:i4>
      </vt:variant>
      <vt:variant>
        <vt:i4>18</vt:i4>
      </vt:variant>
      <vt:variant>
        <vt:i4>0</vt:i4>
      </vt:variant>
      <vt:variant>
        <vt:i4>5</vt:i4>
      </vt:variant>
      <vt:variant>
        <vt:lpwstr>https://iris.who.int/bitstream/handle/10665/372887/Eurohealth-29-1-6-10-eng.pdf?sequence=1&amp;isAllowed=y</vt:lpwstr>
      </vt:variant>
      <vt:variant>
        <vt:lpwstr/>
      </vt:variant>
      <vt:variant>
        <vt:i4>6357030</vt:i4>
      </vt:variant>
      <vt:variant>
        <vt:i4>15</vt:i4>
      </vt:variant>
      <vt:variant>
        <vt:i4>0</vt:i4>
      </vt:variant>
      <vt:variant>
        <vt:i4>5</vt:i4>
      </vt:variant>
      <vt:variant>
        <vt:lpwstr>https://health.ec.europa.eu/document/download/66d6601b-8a37-4d44-ae2b-3ba2f8f34f41_en?filename=state_2023_synthesis-report_en.pdf</vt:lpwstr>
      </vt:variant>
      <vt:variant>
        <vt:lpwstr/>
      </vt:variant>
      <vt:variant>
        <vt:i4>4456497</vt:i4>
      </vt:variant>
      <vt:variant>
        <vt:i4>12</vt:i4>
      </vt:variant>
      <vt:variant>
        <vt:i4>0</vt:i4>
      </vt:variant>
      <vt:variant>
        <vt:i4>5</vt:i4>
      </vt:variant>
      <vt:variant>
        <vt:lpwstr>https://belgian-presidency.consilium.europa.eu/media/3kajw1io/programme_en.pdf</vt:lpwstr>
      </vt:variant>
      <vt:variant>
        <vt:lpwstr/>
      </vt:variant>
      <vt:variant>
        <vt:i4>4718604</vt:i4>
      </vt:variant>
      <vt:variant>
        <vt:i4>9</vt:i4>
      </vt:variant>
      <vt:variant>
        <vt:i4>0</vt:i4>
      </vt:variant>
      <vt:variant>
        <vt:i4>5</vt:i4>
      </vt:variant>
      <vt:variant>
        <vt:lpwstr>https://iris.who.int/handle/10665/372563</vt:lpwstr>
      </vt:variant>
      <vt:variant>
        <vt:lpwstr/>
      </vt:variant>
      <vt:variant>
        <vt:i4>1769566</vt:i4>
      </vt:variant>
      <vt:variant>
        <vt:i4>6</vt:i4>
      </vt:variant>
      <vt:variant>
        <vt:i4>0</vt:i4>
      </vt:variant>
      <vt:variant>
        <vt:i4>5</vt:i4>
      </vt:variant>
      <vt:variant>
        <vt:lpwstr>https://eur-lex.europa.eu/legal-content/EN/TXT/PDF/?uri=CELEX:52022IE1513</vt:lpwstr>
      </vt:variant>
      <vt:variant>
        <vt:lpwstr/>
      </vt:variant>
      <vt:variant>
        <vt:i4>7798894</vt:i4>
      </vt:variant>
      <vt:variant>
        <vt:i4>3</vt:i4>
      </vt:variant>
      <vt:variant>
        <vt:i4>0</vt:i4>
      </vt:variant>
      <vt:variant>
        <vt:i4>5</vt:i4>
      </vt:variant>
      <vt:variant>
        <vt:lpwstr>https://www.healthyeurope.info/all-countries-have-workforce-issues/</vt:lpwstr>
      </vt:variant>
      <vt:variant>
        <vt:lpwstr/>
      </vt:variant>
      <vt:variant>
        <vt:i4>4521988</vt:i4>
      </vt:variant>
      <vt:variant>
        <vt:i4>0</vt:i4>
      </vt:variant>
      <vt:variant>
        <vt:i4>0</vt:i4>
      </vt:variant>
      <vt:variant>
        <vt:i4>5</vt:i4>
      </vt:variant>
      <vt:variant>
        <vt:lpwstr>https://www.who.int/europe/publications/i/item/bucharest-declaration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Richer Delforge</dc:creator>
  <cp:keywords/>
  <dc:description/>
  <cp:lastModifiedBy>Claudia Mantovan</cp:lastModifiedBy>
  <cp:revision>1209</cp:revision>
  <dcterms:created xsi:type="dcterms:W3CDTF">2024-02-05T15:15:00Z</dcterms:created>
  <dcterms:modified xsi:type="dcterms:W3CDTF">2024-02-22T21:56:00Z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0x01010025E8AE523B64FC49AC0890FA3FD7CDBB</vt:lpwstr>
  </property>
  <property fmtid="{D5CDD505-2E9C-101B-9397-08002B2CF9AE}" pid="3" name="MediaServiceImageTags">
    <vt:lpwstr/>
  </property>
</Properties>
</file>