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B3B2" w14:textId="77777777" w:rsidR="003844F2" w:rsidRPr="003844F2" w:rsidRDefault="00D647F6" w:rsidP="0090423F">
      <w:pPr>
        <w:pStyle w:val="Title"/>
        <w:jc w:val="center"/>
        <w:rPr>
          <w:b w:val="0"/>
          <w:i w:val="0"/>
        </w:rPr>
      </w:pPr>
      <w:r>
        <w:rPr>
          <w:b w:val="0"/>
          <w:i w:val="0"/>
        </w:rPr>
        <w:t>Building on V</w:t>
      </w:r>
      <w:r w:rsidR="003844F2" w:rsidRPr="003844F2">
        <w:rPr>
          <w:b w:val="0"/>
          <w:i w:val="0"/>
        </w:rPr>
        <w:t xml:space="preserve">atican II:  </w:t>
      </w:r>
    </w:p>
    <w:p w14:paraId="44D28124" w14:textId="77777777" w:rsidR="00224351" w:rsidRPr="003844F2" w:rsidRDefault="003844F2" w:rsidP="003844F2">
      <w:pPr>
        <w:pStyle w:val="Subtitle"/>
        <w:jc w:val="center"/>
        <w:rPr>
          <w:b/>
          <w:i w:val="0"/>
        </w:rPr>
      </w:pPr>
      <w:r w:rsidRPr="003844F2">
        <w:rPr>
          <w:b/>
          <w:i w:val="0"/>
        </w:rPr>
        <w:t>Setting the Agenda for the Church of the 21</w:t>
      </w:r>
      <w:r w:rsidRPr="003844F2">
        <w:rPr>
          <w:b/>
          <w:i w:val="0"/>
          <w:vertAlign w:val="superscript"/>
        </w:rPr>
        <w:t>st</w:t>
      </w:r>
      <w:r w:rsidRPr="003844F2">
        <w:rPr>
          <w:b/>
          <w:i w:val="0"/>
        </w:rPr>
        <w:t xml:space="preserve"> Century</w:t>
      </w:r>
    </w:p>
    <w:p w14:paraId="5AB114DF" w14:textId="20F2F7D9" w:rsidR="003F60E1" w:rsidRDefault="003F60E1" w:rsidP="0090423F">
      <w:pPr>
        <w:pStyle w:val="author"/>
      </w:pPr>
      <w:r>
        <w:t>Richard R. Gaillardetz, Ph.D.</w:t>
      </w:r>
      <w:r>
        <w:br/>
      </w:r>
      <w:r w:rsidR="00E9128A">
        <w:t xml:space="preserve">Joseph </w:t>
      </w:r>
      <w:r>
        <w:t xml:space="preserve">Professor of Catholic </w:t>
      </w:r>
      <w:r w:rsidR="00EC58FA">
        <w:t>Systematic Theology</w:t>
      </w:r>
      <w:r>
        <w:br/>
      </w:r>
      <w:r w:rsidR="00EC58FA">
        <w:t>Boston College</w:t>
      </w:r>
    </w:p>
    <w:p w14:paraId="03608965" w14:textId="2983982C" w:rsidR="00377C6E" w:rsidRPr="00377C6E" w:rsidRDefault="00377C6E" w:rsidP="00377C6E">
      <w:pPr>
        <w:rPr>
          <w:b/>
        </w:rPr>
      </w:pPr>
      <w:bookmarkStart w:id="0" w:name="_GoBack"/>
      <w:r w:rsidRPr="00377C6E">
        <w:rPr>
          <w:b/>
        </w:rPr>
        <w:t>“Building on Vatican II:  Setting the Agenda for the Church of the 21</w:t>
      </w:r>
      <w:r w:rsidRPr="00377C6E">
        <w:rPr>
          <w:b/>
          <w:vertAlign w:val="superscript"/>
        </w:rPr>
        <w:t>st</w:t>
      </w:r>
      <w:r w:rsidRPr="00377C6E">
        <w:rPr>
          <w:b/>
        </w:rPr>
        <w:t xml:space="preserve"> Century.” </w:t>
      </w:r>
      <w:proofErr w:type="spellStart"/>
      <w:r w:rsidRPr="00377C6E">
        <w:rPr>
          <w:b/>
          <w:i/>
        </w:rPr>
        <w:t>Theoforum</w:t>
      </w:r>
      <w:proofErr w:type="spellEnd"/>
      <w:r w:rsidRPr="00377C6E">
        <w:rPr>
          <w:b/>
        </w:rPr>
        <w:t xml:space="preserve"> 44 (2013):  67-90</w:t>
      </w:r>
    </w:p>
    <w:bookmarkEnd w:id="0"/>
    <w:p w14:paraId="567AA433" w14:textId="77777777" w:rsidR="00E9110A" w:rsidRDefault="003844F2" w:rsidP="00E9110A">
      <w:r>
        <w:t xml:space="preserve">As the church’s celebrates the fiftieth anniversary of the opening of Vatican II many in the church feel torn between two impulses: first, gratitude for the gift of the council to the church today and, second, </w:t>
      </w:r>
      <w:proofErr w:type="gramStart"/>
      <w:r>
        <w:t>discouragement</w:t>
      </w:r>
      <w:proofErr w:type="gramEnd"/>
      <w:r>
        <w:t xml:space="preserve"> at the extent to which important conciliar </w:t>
      </w:r>
      <w:r w:rsidR="00FC5D40">
        <w:t>teachings</w:t>
      </w:r>
      <w:r>
        <w:t xml:space="preserve"> have not been </w:t>
      </w:r>
      <w:r w:rsidR="00FC5D40">
        <w:t xml:space="preserve">yet </w:t>
      </w:r>
      <w:r>
        <w:t xml:space="preserve">fully </w:t>
      </w:r>
      <w:r w:rsidR="00FC5D40">
        <w:t>implemented</w:t>
      </w:r>
      <w:r>
        <w:t xml:space="preserve">.  </w:t>
      </w:r>
      <w:r w:rsidR="00FC5D40">
        <w:t xml:space="preserve">How are we to make sense of this situation?  </w:t>
      </w:r>
      <w:r>
        <w:t xml:space="preserve">To describe our complicated position with respect to the council, I would like to draw on </w:t>
      </w:r>
      <w:r w:rsidR="000A03CD">
        <w:t>a well known metaphor offered</w:t>
      </w:r>
      <w:r>
        <w:t xml:space="preserve"> by</w:t>
      </w:r>
      <w:r w:rsidR="00E9110A">
        <w:t xml:space="preserve"> </w:t>
      </w:r>
      <w:r w:rsidR="00E9110A" w:rsidRPr="00397DCD">
        <w:t xml:space="preserve">the German ecclesiologist, Hermann </w:t>
      </w:r>
      <w:proofErr w:type="spellStart"/>
      <w:r w:rsidR="00E9110A" w:rsidRPr="00397DCD">
        <w:t>Pottmeyer</w:t>
      </w:r>
      <w:proofErr w:type="spellEnd"/>
      <w:r>
        <w:t>,</w:t>
      </w:r>
      <w:r w:rsidR="00E9110A" w:rsidRPr="00397DCD">
        <w:t xml:space="preserve"> </w:t>
      </w:r>
      <w:r>
        <w:t xml:space="preserve">who </w:t>
      </w:r>
      <w:r w:rsidR="00E9110A" w:rsidRPr="00397DCD">
        <w:t xml:space="preserve">referred to Vatican II as </w:t>
      </w:r>
      <w:r w:rsidR="00FC5D40">
        <w:t>“</w:t>
      </w:r>
      <w:r>
        <w:t>an unfinished building site,</w:t>
      </w:r>
      <w:r w:rsidR="00FC5D40">
        <w:t>”</w:t>
      </w:r>
      <w:r>
        <w:t xml:space="preserve"> an </w:t>
      </w:r>
      <w:r w:rsidR="00E9110A" w:rsidRPr="00397DCD">
        <w:t>ecclesiological project</w:t>
      </w:r>
      <w:r w:rsidR="00D647F6">
        <w:t xml:space="preserve"> </w:t>
      </w:r>
      <w:r w:rsidR="00E9110A" w:rsidRPr="00397DCD">
        <w:t>still waiting the completion of construction.</w:t>
      </w:r>
      <w:r w:rsidR="00E9110A" w:rsidRPr="00397DCD">
        <w:rPr>
          <w:rStyle w:val="FootnoteReference"/>
        </w:rPr>
        <w:footnoteReference w:id="1"/>
      </w:r>
      <w:r w:rsidR="00E9110A" w:rsidRPr="00397DCD">
        <w:t xml:space="preserve">  </w:t>
      </w:r>
      <w:proofErr w:type="spellStart"/>
      <w:r w:rsidR="00E9110A" w:rsidRPr="00397DCD">
        <w:t>Pottmeyer</w:t>
      </w:r>
      <w:proofErr w:type="spellEnd"/>
      <w:r w:rsidR="00E9110A" w:rsidRPr="00397DCD">
        <w:t xml:space="preserve"> </w:t>
      </w:r>
      <w:r>
        <w:t xml:space="preserve">offered as a visual image </w:t>
      </w:r>
      <w:r w:rsidR="00E9110A" w:rsidRPr="00397DCD">
        <w:t>the re-building of St. Peter’s basilica in the 16</w:t>
      </w:r>
      <w:r w:rsidR="00E9110A" w:rsidRPr="00397DCD">
        <w:rPr>
          <w:vertAlign w:val="superscript"/>
        </w:rPr>
        <w:t>th</w:t>
      </w:r>
      <w:r w:rsidR="00E9110A" w:rsidRPr="00397DCD">
        <w:t xml:space="preserve"> century.  At the time, the foundation for the new basilica was first erected </w:t>
      </w:r>
      <w:r w:rsidR="000A03CD">
        <w:t xml:space="preserve">alongside </w:t>
      </w:r>
      <w:r w:rsidR="00E9110A" w:rsidRPr="00397DCD">
        <w:t xml:space="preserve">the </w:t>
      </w:r>
      <w:r w:rsidR="000A03CD">
        <w:t xml:space="preserve">still standing </w:t>
      </w:r>
      <w:r w:rsidR="00E9110A" w:rsidRPr="00397DCD">
        <w:t xml:space="preserve">older basilica.  </w:t>
      </w:r>
      <w:r w:rsidR="00D05F18">
        <w:t xml:space="preserve">In like manner, </w:t>
      </w:r>
      <w:proofErr w:type="spellStart"/>
      <w:r w:rsidR="00D05F18">
        <w:t>Pottmeyer</w:t>
      </w:r>
      <w:proofErr w:type="spellEnd"/>
      <w:r w:rsidR="00D05F18">
        <w:t xml:space="preserve"> contends that the work of the council was part of a building site concerned with constructing a new ecclesiological foundation while the influence of the older foundation was still being felt.  The council’s principal teachings </w:t>
      </w:r>
      <w:r w:rsidR="000A03CD">
        <w:t xml:space="preserve">are represented by the supporting columns for the new basilica.  Unfortunately, those pillars stand alone, still awaiting </w:t>
      </w:r>
      <w:r w:rsidR="00D05F18">
        <w:t xml:space="preserve">a </w:t>
      </w:r>
      <w:r w:rsidR="00E9110A" w:rsidRPr="00397DCD">
        <w:t xml:space="preserve">“dome” to draw them together as a unified structure.  </w:t>
      </w:r>
      <w:r w:rsidR="00BA3D1B">
        <w:t xml:space="preserve">I would like to use this </w:t>
      </w:r>
      <w:r w:rsidR="000A03CD">
        <w:t>metaphor</w:t>
      </w:r>
      <w:r w:rsidR="00BA3D1B">
        <w:t xml:space="preserve"> to structur</w:t>
      </w:r>
      <w:r w:rsidR="00D05F18">
        <w:t xml:space="preserve">e my reflections on </w:t>
      </w:r>
      <w:r w:rsidR="000A03CD">
        <w:t>the council in three parts.  P</w:t>
      </w:r>
      <w:r w:rsidR="00D05F18">
        <w:t xml:space="preserve">art one considers </w:t>
      </w:r>
      <w:r w:rsidR="002B6D62">
        <w:t>the old ecclesial “edifice”</w:t>
      </w:r>
      <w:r w:rsidR="00D05F18">
        <w:t xml:space="preserve"> </w:t>
      </w:r>
      <w:r w:rsidR="002B6D62">
        <w:t xml:space="preserve">that </w:t>
      </w:r>
      <w:r w:rsidR="00D05F18">
        <w:t>was still standing at the time of the council</w:t>
      </w:r>
      <w:r w:rsidR="002B6D62">
        <w:t xml:space="preserve">, the presence of which </w:t>
      </w:r>
      <w:r w:rsidR="0070295C">
        <w:t>had a tremendous impact on</w:t>
      </w:r>
      <w:r w:rsidR="00D05F18">
        <w:t xml:space="preserve"> </w:t>
      </w:r>
      <w:r w:rsidR="00D05F18">
        <w:lastRenderedPageBreak/>
        <w:t>the entire “building project</w:t>
      </w:r>
      <w:r w:rsidR="000A03CD">
        <w:t>.” P</w:t>
      </w:r>
      <w:r w:rsidR="00D05F18">
        <w:t xml:space="preserve">art two will sketch out the central </w:t>
      </w:r>
      <w:r w:rsidR="002B6D62">
        <w:t>“</w:t>
      </w:r>
      <w:r w:rsidR="00D05F18">
        <w:t>columns</w:t>
      </w:r>
      <w:r w:rsidR="000A03CD">
        <w:t xml:space="preserve">” or “pillars” </w:t>
      </w:r>
      <w:r w:rsidR="00120CC4">
        <w:t xml:space="preserve">of Vatican II’s teaching that constitute the </w:t>
      </w:r>
      <w:r w:rsidR="002B6D62">
        <w:t xml:space="preserve">vital </w:t>
      </w:r>
      <w:r w:rsidR="0070295C">
        <w:t>supports</w:t>
      </w:r>
      <w:r w:rsidR="002B6D62">
        <w:t xml:space="preserve"> </w:t>
      </w:r>
      <w:r w:rsidR="00120CC4">
        <w:t xml:space="preserve">for </w:t>
      </w:r>
      <w:r w:rsidR="002B6D62">
        <w:t>a new ecclesial foundation</w:t>
      </w:r>
      <w:r w:rsidR="000A03CD">
        <w:t>.  P</w:t>
      </w:r>
      <w:r w:rsidR="00D05F18">
        <w:t xml:space="preserve">art three will </w:t>
      </w:r>
      <w:r w:rsidR="0070295C">
        <w:t>conclude with a consideration of</w:t>
      </w:r>
      <w:r w:rsidR="00D05F18">
        <w:t xml:space="preserve"> the work yet to be done</w:t>
      </w:r>
      <w:r w:rsidR="002B6D62">
        <w:t xml:space="preserve"> in </w:t>
      </w:r>
      <w:r w:rsidR="00E9128A">
        <w:t>“</w:t>
      </w:r>
      <w:r w:rsidR="002B6D62">
        <w:t>completing</w:t>
      </w:r>
      <w:r w:rsidR="00E9128A">
        <w:t>”</w:t>
      </w:r>
      <w:r w:rsidR="002B6D62">
        <w:t xml:space="preserve"> the structure.</w:t>
      </w:r>
      <w:r w:rsidR="00D05F18">
        <w:t xml:space="preserve"> </w:t>
      </w:r>
    </w:p>
    <w:p w14:paraId="39FA15AA" w14:textId="77777777" w:rsidR="00E9110A" w:rsidRDefault="00000CE2" w:rsidP="008A1F3D">
      <w:pPr>
        <w:pStyle w:val="Heading1"/>
        <w:numPr>
          <w:ilvl w:val="0"/>
          <w:numId w:val="2"/>
        </w:numPr>
      </w:pPr>
      <w:r>
        <w:t>The “Gregorian Form”</w:t>
      </w:r>
      <w:r w:rsidR="00D05F18">
        <w:t xml:space="preserve"> of the Church</w:t>
      </w:r>
    </w:p>
    <w:p w14:paraId="4A1DEC21" w14:textId="1C5674DA" w:rsidR="00602FAF" w:rsidRDefault="000A03CD" w:rsidP="00602FAF">
      <w:r>
        <w:t>J</w:t>
      </w:r>
      <w:r w:rsidR="00120CC4">
        <w:t xml:space="preserve">ust as the rebuilding of St. Peter’s was </w:t>
      </w:r>
      <w:r>
        <w:t xml:space="preserve">undertaken in the </w:t>
      </w:r>
      <w:r w:rsidR="003148A3">
        <w:t xml:space="preserve">imposing </w:t>
      </w:r>
      <w:r>
        <w:t xml:space="preserve">shadow </w:t>
      </w:r>
      <w:r w:rsidR="00120CC4">
        <w:t xml:space="preserve">of the older </w:t>
      </w:r>
      <w:r w:rsidR="003148A3">
        <w:t>basilica</w:t>
      </w:r>
      <w:r w:rsidR="00120CC4">
        <w:t xml:space="preserve">, so too the work of Vatican II was </w:t>
      </w:r>
      <w:r w:rsidR="003148A3">
        <w:t>undertaken</w:t>
      </w:r>
      <w:r w:rsidR="0070295C">
        <w:t>,</w:t>
      </w:r>
      <w:r w:rsidR="003148A3">
        <w:t xml:space="preserve"> </w:t>
      </w:r>
      <w:r w:rsidR="0070295C">
        <w:t xml:space="preserve">in many ways, </w:t>
      </w:r>
      <w:r w:rsidR="003148A3">
        <w:t xml:space="preserve">in the shadow of a </w:t>
      </w:r>
      <w:r w:rsidR="00120CC4">
        <w:t xml:space="preserve">largely outdated ecclesiological </w:t>
      </w:r>
      <w:r w:rsidR="003148A3">
        <w:t xml:space="preserve">edifice, which, following the </w:t>
      </w:r>
      <w:r w:rsidR="00BA3D1B">
        <w:t xml:space="preserve">French </w:t>
      </w:r>
      <w:r w:rsidR="00602FAF">
        <w:rPr>
          <w:lang w:bidi="ar-SA"/>
        </w:rPr>
        <w:t xml:space="preserve">Benedictine theologian, </w:t>
      </w:r>
      <w:proofErr w:type="spellStart"/>
      <w:r w:rsidR="00602FAF">
        <w:rPr>
          <w:lang w:bidi="ar-SA"/>
        </w:rPr>
        <w:t>Ghislain</w:t>
      </w:r>
      <w:proofErr w:type="spellEnd"/>
      <w:r w:rsidR="00602FAF">
        <w:rPr>
          <w:lang w:bidi="ar-SA"/>
        </w:rPr>
        <w:t xml:space="preserve"> </w:t>
      </w:r>
      <w:proofErr w:type="spellStart"/>
      <w:r w:rsidR="00602FAF">
        <w:rPr>
          <w:lang w:bidi="ar-SA"/>
        </w:rPr>
        <w:t>Lafont</w:t>
      </w:r>
      <w:proofErr w:type="spellEnd"/>
      <w:r w:rsidR="00602FAF">
        <w:rPr>
          <w:lang w:bidi="ar-SA"/>
        </w:rPr>
        <w:t xml:space="preserve">, </w:t>
      </w:r>
      <w:r w:rsidR="003148A3">
        <w:rPr>
          <w:lang w:bidi="ar-SA"/>
        </w:rPr>
        <w:t xml:space="preserve">we will refer to as </w:t>
      </w:r>
      <w:r w:rsidR="00602FAF">
        <w:rPr>
          <w:lang w:bidi="ar-SA"/>
        </w:rPr>
        <w:t>“the Gregorian form” of the church</w:t>
      </w:r>
      <w:r w:rsidR="00602FAF">
        <w:t>.</w:t>
      </w:r>
      <w:r w:rsidR="00602FAF">
        <w:rPr>
          <w:rStyle w:val="FootnoteReference"/>
        </w:rPr>
        <w:footnoteReference w:id="2"/>
      </w:r>
      <w:r w:rsidR="00602FAF">
        <w:t xml:space="preserve"> </w:t>
      </w:r>
      <w:r w:rsidR="00BA3D1B">
        <w:t xml:space="preserve"> </w:t>
      </w:r>
      <w:r w:rsidR="00EF6757">
        <w:t xml:space="preserve">The </w:t>
      </w:r>
      <w:r w:rsidR="00715F2C">
        <w:t xml:space="preserve">Gregorian </w:t>
      </w:r>
      <w:r w:rsidR="00BA3D1B">
        <w:t xml:space="preserve"> form takes its name from Pope Gregory VII who in the eleventh century instigated a </w:t>
      </w:r>
      <w:r w:rsidR="00120CC4">
        <w:t xml:space="preserve">fundamental </w:t>
      </w:r>
      <w:r w:rsidR="00BA3D1B">
        <w:t xml:space="preserve">pivot in Catholic ecclesiology away from a more theological and sacramental view of the church to one which was more juridical and hierarchical in structure.  </w:t>
      </w:r>
      <w:r w:rsidR="00715F2C">
        <w:t xml:space="preserve">This enduring ecclesial form was the object of extensive critique in the council deliberations and at the same time its defenders exerted a countervailing influence, pushing back against the conciliar impulse for reform.  </w:t>
      </w:r>
      <w:r w:rsidR="00E9128A">
        <w:t xml:space="preserve">According to </w:t>
      </w:r>
      <w:proofErr w:type="spellStart"/>
      <w:r w:rsidR="00E9128A">
        <w:t>Lafont</w:t>
      </w:r>
      <w:proofErr w:type="spellEnd"/>
      <w:r w:rsidR="00E9128A">
        <w:t xml:space="preserve">, </w:t>
      </w:r>
      <w:r w:rsidR="00715F2C">
        <w:t xml:space="preserve">the Gregorian form was </w:t>
      </w:r>
      <w:r w:rsidR="009E3028">
        <w:t xml:space="preserve">  gradually solidified</w:t>
      </w:r>
      <w:r w:rsidR="00120CC4">
        <w:t xml:space="preserve"> over the </w:t>
      </w:r>
      <w:r w:rsidR="00715F2C">
        <w:t xml:space="preserve">course of the second millennium </w:t>
      </w:r>
      <w:r w:rsidR="00120CC4">
        <w:t xml:space="preserve">and </w:t>
      </w:r>
      <w:r w:rsidR="00715F2C">
        <w:t xml:space="preserve">was </w:t>
      </w:r>
      <w:r w:rsidR="00602FAF">
        <w:t xml:space="preserve">sustained by three “supporting elements”:  1) </w:t>
      </w:r>
      <w:r w:rsidR="009E3028">
        <w:t>a</w:t>
      </w:r>
      <w:r w:rsidR="0070295C">
        <w:t>n “</w:t>
      </w:r>
      <w:proofErr w:type="spellStart"/>
      <w:r w:rsidR="0070295C">
        <w:t>illuminationist</w:t>
      </w:r>
      <w:proofErr w:type="spellEnd"/>
      <w:r w:rsidR="00EF6757">
        <w:t>”</w:t>
      </w:r>
      <w:r w:rsidR="0070295C">
        <w:t xml:space="preserve"> </w:t>
      </w:r>
      <w:r w:rsidR="009F0F9C">
        <w:t>theology of divine revelation</w:t>
      </w:r>
      <w:r w:rsidR="00602FAF">
        <w:t xml:space="preserve">, 2) a </w:t>
      </w:r>
      <w:proofErr w:type="spellStart"/>
      <w:r w:rsidR="009F0F9C">
        <w:t>papo</w:t>
      </w:r>
      <w:proofErr w:type="spellEnd"/>
      <w:r w:rsidR="00120CC4">
        <w:t>-</w:t>
      </w:r>
      <w:r w:rsidR="009F0F9C">
        <w:t>centric view of church authority, and</w:t>
      </w:r>
      <w:r w:rsidR="00602FAF">
        <w:t xml:space="preserve"> 3) </w:t>
      </w:r>
      <w:r w:rsidR="009F0F9C">
        <w:t>a sacral priesthood.</w:t>
      </w:r>
      <w:r w:rsidR="00602FAF">
        <w:t xml:space="preserve"> </w:t>
      </w:r>
    </w:p>
    <w:p w14:paraId="78F891DD" w14:textId="77777777" w:rsidR="00602FAF" w:rsidRDefault="00602FAF" w:rsidP="00D43803">
      <w:pPr>
        <w:pStyle w:val="Heading2"/>
      </w:pPr>
      <w:r>
        <w:t xml:space="preserve">An </w:t>
      </w:r>
      <w:proofErr w:type="spellStart"/>
      <w:r w:rsidR="009F0F9C">
        <w:t>Illuminationist</w:t>
      </w:r>
      <w:proofErr w:type="spellEnd"/>
      <w:r w:rsidR="009F0F9C">
        <w:t xml:space="preserve"> Theology of Revelation</w:t>
      </w:r>
    </w:p>
    <w:p w14:paraId="7300D05B" w14:textId="5B59386D" w:rsidR="00165E08" w:rsidRDefault="009F0F9C" w:rsidP="00602FAF">
      <w:r>
        <w:t xml:space="preserve">The first component of this Gregorian form of the church is a theology of divine revelation that is </w:t>
      </w:r>
      <w:proofErr w:type="spellStart"/>
      <w:r>
        <w:t>illuminationist</w:t>
      </w:r>
      <w:proofErr w:type="spellEnd"/>
      <w:r>
        <w:t xml:space="preserve"> in character </w:t>
      </w:r>
      <w:r w:rsidR="00120CC4">
        <w:t>inasmuch</w:t>
      </w:r>
      <w:r>
        <w:t xml:space="preserve"> as it presupposes that divine </w:t>
      </w:r>
      <w:r w:rsidR="00602FAF">
        <w:t xml:space="preserve">truth comes from above and is mediated hierarchically from the higher to the lower ranks of the church. </w:t>
      </w:r>
      <w:proofErr w:type="spellStart"/>
      <w:r w:rsidR="00E9128A">
        <w:t>Lafont</w:t>
      </w:r>
      <w:proofErr w:type="spellEnd"/>
      <w:r w:rsidR="00E9128A">
        <w:t xml:space="preserve"> contends that this theology of revelation </w:t>
      </w:r>
      <w:r w:rsidR="00E9128A">
        <w:lastRenderedPageBreak/>
        <w:t xml:space="preserve">assumes </w:t>
      </w:r>
      <w:r w:rsidR="00602FAF">
        <w:t>“a quasi-identity of revealed truth and the formulas expressing the truth.”</w:t>
      </w:r>
      <w:r w:rsidR="00602FAF" w:rsidRPr="007076C2">
        <w:rPr>
          <w:rStyle w:val="FootnoteReference"/>
        </w:rPr>
        <w:t xml:space="preserve"> </w:t>
      </w:r>
      <w:r w:rsidR="00602FAF">
        <w:rPr>
          <w:rStyle w:val="FootnoteReference"/>
        </w:rPr>
        <w:footnoteReference w:id="3"/>
      </w:r>
      <w:r w:rsidR="00602FAF">
        <w:t xml:space="preserve">   </w:t>
      </w:r>
      <w:r w:rsidR="00165E08">
        <w:t xml:space="preserve">We might describe this </w:t>
      </w:r>
      <w:r w:rsidR="00602FAF">
        <w:t xml:space="preserve">as a kind of </w:t>
      </w:r>
      <w:r w:rsidR="00120CC4">
        <w:t xml:space="preserve">spiritual </w:t>
      </w:r>
      <w:r w:rsidR="00602FAF">
        <w:t>“trickle-down theory.”</w:t>
      </w:r>
      <w:r w:rsidR="00602FAF">
        <w:rPr>
          <w:rStyle w:val="FootnoteReference"/>
        </w:rPr>
        <w:footnoteReference w:id="4"/>
      </w:r>
      <w:r w:rsidR="00602FAF">
        <w:t xml:space="preserve">  </w:t>
      </w:r>
      <w:r w:rsidR="006F78E8">
        <w:t xml:space="preserve">Drawing on a </w:t>
      </w:r>
      <w:proofErr w:type="spellStart"/>
      <w:r w:rsidR="006F78E8">
        <w:t>Lonerganian</w:t>
      </w:r>
      <w:proofErr w:type="spellEnd"/>
      <w:r w:rsidR="006F78E8">
        <w:t xml:space="preserve"> theological framework, Michael </w:t>
      </w:r>
      <w:proofErr w:type="spellStart"/>
      <w:r w:rsidR="006F78E8">
        <w:t>Vertin</w:t>
      </w:r>
      <w:proofErr w:type="spellEnd"/>
      <w:r w:rsidR="006F78E8">
        <w:t xml:space="preserve"> and Margaret O’Gara refer to this as a “classical cognitivist” framework in which God communicates a divine message through doctrines that are taught by the magisterium and passively received by the Christian faithful.</w:t>
      </w:r>
      <w:r w:rsidR="006F78E8">
        <w:rPr>
          <w:rStyle w:val="FootnoteReference"/>
        </w:rPr>
        <w:footnoteReference w:id="5"/>
      </w:r>
      <w:r w:rsidR="006F78E8">
        <w:t xml:space="preserve">  </w:t>
      </w:r>
    </w:p>
    <w:p w14:paraId="014623AE" w14:textId="77777777" w:rsidR="00602FAF" w:rsidRDefault="00991333" w:rsidP="00602FAF">
      <w:r>
        <w:t>Over the centuries</w:t>
      </w:r>
      <w:r w:rsidR="0070295C">
        <w:t>,</w:t>
      </w:r>
      <w:r>
        <w:t xml:space="preserve"> t</w:t>
      </w:r>
      <w:r w:rsidR="00120CC4">
        <w:t xml:space="preserve">his </w:t>
      </w:r>
      <w:proofErr w:type="spellStart"/>
      <w:r w:rsidR="00120CC4">
        <w:t>illuminationist</w:t>
      </w:r>
      <w:proofErr w:type="spellEnd"/>
      <w:r w:rsidR="00120CC4">
        <w:t xml:space="preserve"> theology of revelation </w:t>
      </w:r>
      <w:r>
        <w:t xml:space="preserve">gradually </w:t>
      </w:r>
      <w:r w:rsidR="00602FAF">
        <w:t>shaped conceptions of the role of the people of God</w:t>
      </w:r>
      <w:r>
        <w:t xml:space="preserve"> in the handing on and </w:t>
      </w:r>
      <w:r w:rsidR="0070295C">
        <w:t>reception</w:t>
      </w:r>
      <w:r w:rsidR="00602FAF">
        <w:t xml:space="preserve"> of the faith of the church.  </w:t>
      </w:r>
      <w:r w:rsidR="00F0501C">
        <w:t xml:space="preserve">If revelation is passively received from </w:t>
      </w:r>
      <w:r>
        <w:t xml:space="preserve">above </w:t>
      </w:r>
      <w:r w:rsidR="00F0501C">
        <w:t xml:space="preserve">through the exclusive mediation of church teaching authorities then the reception of that revelation by the </w:t>
      </w:r>
      <w:r>
        <w:t>faithful</w:t>
      </w:r>
      <w:r w:rsidR="00F0501C">
        <w:t xml:space="preserve"> will </w:t>
      </w:r>
      <w:r>
        <w:t xml:space="preserve">necessarily </w:t>
      </w:r>
      <w:r w:rsidR="00F0501C">
        <w:t xml:space="preserve">be passive and </w:t>
      </w:r>
      <w:proofErr w:type="spellStart"/>
      <w:r w:rsidR="00F0501C">
        <w:t>obediential</w:t>
      </w:r>
      <w:proofErr w:type="spellEnd"/>
      <w:r w:rsidR="00F0501C">
        <w:t xml:space="preserve">, adding nothing to what has been handed down.  </w:t>
      </w:r>
      <w:r>
        <w:t xml:space="preserve">As </w:t>
      </w:r>
      <w:r w:rsidR="0070295C">
        <w:t>Vatican II</w:t>
      </w:r>
      <w:r>
        <w:t xml:space="preserve"> opened we see this theology not only in the preparatory schema on revelation but also in the preparatory schema on t</w:t>
      </w:r>
      <w:r w:rsidR="009025A7">
        <w:t>he church which emphasized the attitude of docile obedience on the part of the lay faithful.</w:t>
      </w:r>
    </w:p>
    <w:p w14:paraId="7AD37DFC" w14:textId="77777777" w:rsidR="00602FAF" w:rsidRDefault="00602FAF" w:rsidP="00D43803">
      <w:pPr>
        <w:pStyle w:val="Heading2"/>
      </w:pPr>
      <w:r>
        <w:t xml:space="preserve">Papal </w:t>
      </w:r>
      <w:proofErr w:type="spellStart"/>
      <w:r>
        <w:t>Monarchialism</w:t>
      </w:r>
      <w:proofErr w:type="spellEnd"/>
      <w:r>
        <w:t xml:space="preserve"> </w:t>
      </w:r>
    </w:p>
    <w:p w14:paraId="1E951A18" w14:textId="77777777" w:rsidR="009025A7" w:rsidRPr="00D917F0" w:rsidRDefault="00602FAF" w:rsidP="00602FAF">
      <w:r>
        <w:t xml:space="preserve">The second element in this Gregorian form concerns the growing influence of the papacy, the central figure in the modern conception of the magisterium.  </w:t>
      </w:r>
      <w:r w:rsidR="009025A7">
        <w:t xml:space="preserve">The increase in papal authority was enhanced by the influence of the Christian </w:t>
      </w:r>
      <w:proofErr w:type="spellStart"/>
      <w:r w:rsidR="009025A7">
        <w:t>neo-Platonism</w:t>
      </w:r>
      <w:proofErr w:type="spellEnd"/>
      <w:r w:rsidR="009025A7">
        <w:t xml:space="preserve"> of Pseudo-Denys </w:t>
      </w:r>
      <w:r w:rsidR="006F78E8">
        <w:t xml:space="preserve">on later medieval ecclesiology </w:t>
      </w:r>
      <w:r w:rsidR="009025A7">
        <w:t xml:space="preserve">which conceived the church as mirror of the celestial “hierarchy.”  Within this pyramidal view of the church the pope was granted the </w:t>
      </w:r>
      <w:proofErr w:type="spellStart"/>
      <w:r w:rsidR="009025A7">
        <w:rPr>
          <w:i/>
        </w:rPr>
        <w:t>plenitud</w:t>
      </w:r>
      <w:r w:rsidR="006F78E8">
        <w:rPr>
          <w:i/>
        </w:rPr>
        <w:t>o</w:t>
      </w:r>
      <w:proofErr w:type="spellEnd"/>
      <w:r w:rsidR="009025A7">
        <w:rPr>
          <w:i/>
        </w:rPr>
        <w:t xml:space="preserve"> </w:t>
      </w:r>
      <w:proofErr w:type="spellStart"/>
      <w:r w:rsidR="009025A7">
        <w:rPr>
          <w:i/>
        </w:rPr>
        <w:t>potestatis</w:t>
      </w:r>
      <w:proofErr w:type="spellEnd"/>
      <w:r w:rsidR="006F78E8">
        <w:rPr>
          <w:i/>
        </w:rPr>
        <w:t xml:space="preserve">, </w:t>
      </w:r>
      <w:r w:rsidR="006F78E8">
        <w:t>the fullness of power</w:t>
      </w:r>
      <w:r w:rsidR="009025A7">
        <w:rPr>
          <w:i/>
        </w:rPr>
        <w:t xml:space="preserve">. </w:t>
      </w:r>
      <w:r w:rsidR="009025A7">
        <w:t xml:space="preserve">In the late fourteenth and early fifteenth centuries the conciliarist controversy, in which some </w:t>
      </w:r>
      <w:r w:rsidR="006F78E8">
        <w:t xml:space="preserve">canonists and bishops </w:t>
      </w:r>
      <w:r w:rsidR="009025A7">
        <w:t>held that</w:t>
      </w:r>
      <w:r w:rsidR="006F78E8">
        <w:t>,</w:t>
      </w:r>
      <w:r w:rsidR="009025A7">
        <w:t xml:space="preserve"> at least in exceptional circumstances</w:t>
      </w:r>
      <w:r w:rsidR="006F78E8">
        <w:t>,</w:t>
      </w:r>
      <w:r w:rsidR="009025A7">
        <w:t xml:space="preserve"> a council might have authority over the papacy, created a potent counter</w:t>
      </w:r>
      <w:r w:rsidR="006F78E8">
        <w:t>-</w:t>
      </w:r>
      <w:r w:rsidR="009025A7">
        <w:t xml:space="preserve">reaction culminating in the Council of Florence’s muscular </w:t>
      </w:r>
      <w:r w:rsidR="009025A7">
        <w:lastRenderedPageBreak/>
        <w:t xml:space="preserve">reassertion of papal authority over the church.  In the wake of the conciliarist controversy, any assertion of </w:t>
      </w:r>
      <w:r w:rsidR="006F78E8">
        <w:t xml:space="preserve">even </w:t>
      </w:r>
      <w:r w:rsidR="009025A7">
        <w:t xml:space="preserve">limited regional autonomy by local bishops was immediately accused of conciliarist heresy and stamped out. The growth in claims to papal authority was accompanied by a diminishment in episcopal authority.  </w:t>
      </w:r>
      <w:r w:rsidR="006F78E8">
        <w:t>Throughout the late middles ages m</w:t>
      </w:r>
      <w:r w:rsidR="009025A7">
        <w:t xml:space="preserve">any theologians held that episcopal consecration was not sacramental and that bishops were, sacramentally speaking, priests with greater jurisdictional authority.  Episcopal faculties were conceded to bishops as if they were mere delegates of the pope.  </w:t>
      </w:r>
      <w:r w:rsidR="00D917F0">
        <w:t xml:space="preserve">In the nineteenth century the threatened loss of the Papal States led to a Catholic preoccupation, in certain circles anyway, with needing to reaffirm papal “sovereignty.” Vatican I issued a document that solemnly defined both papal primacy and infallibility.  The council had intended to issue another document that offered a more comprehensive treatise on the church, but the council was suspended because of the Franco-Prussian War and the draft was never considered. Even though </w:t>
      </w:r>
      <w:r w:rsidR="006F78E8">
        <w:t xml:space="preserve">both </w:t>
      </w:r>
      <w:r w:rsidR="00D917F0">
        <w:t>the German bishops and John Henry Newman argued that it was wrong to interpret the teaching of Vatican I as granting the pope virtually unfettered authority, the practical impact of Vatican I’s teaching was a further enhancement of papal authority.</w:t>
      </w:r>
      <w:r w:rsidR="00715F2C" w:rsidRPr="00715F2C">
        <w:rPr>
          <w:rStyle w:val="EndnoteReference"/>
        </w:rPr>
        <w:t xml:space="preserve"> </w:t>
      </w:r>
      <w:r w:rsidR="00715F2C">
        <w:rPr>
          <w:rStyle w:val="FootnoteReference"/>
        </w:rPr>
        <w:footnoteReference w:id="6"/>
      </w:r>
      <w:r w:rsidR="00715F2C">
        <w:t xml:space="preserve"> </w:t>
      </w:r>
      <w:r w:rsidR="00D917F0">
        <w:t xml:space="preserve"> The papal encyclical, which first emerged in the eighteenth century, would soon become an indispensible tool in the expansion of the pope’s doctrinal teaching authority.  In 1950, Pope Pius XII would assert in </w:t>
      </w:r>
      <w:proofErr w:type="spellStart"/>
      <w:r w:rsidR="00D917F0">
        <w:rPr>
          <w:i/>
        </w:rPr>
        <w:t>Humani</w:t>
      </w:r>
      <w:proofErr w:type="spellEnd"/>
      <w:r w:rsidR="00D917F0">
        <w:rPr>
          <w:i/>
        </w:rPr>
        <w:t xml:space="preserve"> </w:t>
      </w:r>
      <w:r w:rsidR="004C4F14">
        <w:rPr>
          <w:i/>
        </w:rPr>
        <w:t xml:space="preserve">generis </w:t>
      </w:r>
      <w:r w:rsidR="004C4F14">
        <w:t>that</w:t>
      </w:r>
      <w:r w:rsidR="00D917F0">
        <w:t xml:space="preserve"> even when a pope pronounced on a matter in his non-infallible, ordinary magisterium, that matter was no longer subject to free theological debate.</w:t>
      </w:r>
      <w:r w:rsidR="006F78E8">
        <w:rPr>
          <w:rStyle w:val="FootnoteReference"/>
        </w:rPr>
        <w:footnoteReference w:id="7"/>
      </w:r>
    </w:p>
    <w:p w14:paraId="5916DF29" w14:textId="77777777" w:rsidR="00602FAF" w:rsidRDefault="00D917F0" w:rsidP="00602FAF">
      <w:r>
        <w:t xml:space="preserve">Indeed, one of the biggest reasons for surprise when Pope John announced his intention to convene a new council is that many bishops and theologians had privately concluded that ecumenical councils were no longer </w:t>
      </w:r>
      <w:r>
        <w:lastRenderedPageBreak/>
        <w:t xml:space="preserve">necessary since everything that a council could accomplish, a robust papacy, accompanied of course by the Roman curia, could do much more effectively.  </w:t>
      </w:r>
    </w:p>
    <w:p w14:paraId="5D7C1CEE" w14:textId="77777777" w:rsidR="002F3DE6" w:rsidRDefault="002F3DE6" w:rsidP="00D43803">
      <w:pPr>
        <w:pStyle w:val="Heading2"/>
      </w:pPr>
      <w:r>
        <w:t xml:space="preserve">A  Sacral Priesthood </w:t>
      </w:r>
    </w:p>
    <w:p w14:paraId="7D6ECC05" w14:textId="77777777" w:rsidR="004C4F14" w:rsidRDefault="00D917F0" w:rsidP="004C4F14">
      <w:r>
        <w:t>Lastly we must consider the third component in the Gregorian form of the church, a sacral priesthood</w:t>
      </w:r>
      <w:r w:rsidR="00E4785E">
        <w:t>: that is, a theology of the priesthood in which the ordained are imagined as belonging to a spiritual elite, separate from the rest of the people of God, superior in holiness and wisdom, and granted exclusive responsibility for all teaching and ministry in the church</w:t>
      </w:r>
      <w:r>
        <w:t xml:space="preserve">. </w:t>
      </w:r>
      <w:r w:rsidR="00D36D1B">
        <w:t xml:space="preserve">One could </w:t>
      </w:r>
      <w:r w:rsidR="004C4F14">
        <w:t xml:space="preserve">list a number of historical developments that cumulatively brought about a </w:t>
      </w:r>
      <w:r w:rsidR="006F78E8">
        <w:t xml:space="preserve">more </w:t>
      </w:r>
      <w:r w:rsidR="004C4F14">
        <w:t xml:space="preserve">sacral understanding of the priesthood.  </w:t>
      </w:r>
      <w:r w:rsidR="00235DD7">
        <w:t xml:space="preserve">Many of these reach back into the first millennium even though they do not really coalesce into an enduring ecclesial form until early in the second millennium.  </w:t>
      </w:r>
      <w:r w:rsidR="004C4F14">
        <w:t>A first development came as the result of a dramatic hardening of the distinction between the clergy and the laity</w:t>
      </w:r>
      <w:r w:rsidR="006F78E8">
        <w:t xml:space="preserve"> beginning in the fourth century</w:t>
      </w:r>
      <w:r w:rsidR="004C4F14">
        <w:t>.</w:t>
      </w:r>
      <w:r w:rsidR="00235DD7">
        <w:rPr>
          <w:rStyle w:val="FootnoteReference"/>
        </w:rPr>
        <w:footnoteReference w:id="8"/>
      </w:r>
      <w:r w:rsidR="004C4F14">
        <w:t xml:space="preserve">  More and more ministries, many of which had once been exercised by the laity, were now preserved for clerics and these diverse ministries</w:t>
      </w:r>
      <w:r w:rsidR="00E4785E">
        <w:t xml:space="preserve">, over time, would gradually be </w:t>
      </w:r>
      <w:r w:rsidR="004C4F14">
        <w:t xml:space="preserve">reconfigured as an ascending ladder of ecclesiastical ranks, what is sometimes termed as the </w:t>
      </w:r>
      <w:proofErr w:type="spellStart"/>
      <w:r w:rsidR="004C4F14">
        <w:rPr>
          <w:i/>
          <w:iCs/>
        </w:rPr>
        <w:t>cursus</w:t>
      </w:r>
      <w:proofErr w:type="spellEnd"/>
      <w:r w:rsidR="004C4F14">
        <w:rPr>
          <w:i/>
          <w:iCs/>
        </w:rPr>
        <w:t xml:space="preserve"> </w:t>
      </w:r>
      <w:proofErr w:type="spellStart"/>
      <w:r w:rsidR="004C4F14">
        <w:rPr>
          <w:i/>
          <w:iCs/>
        </w:rPr>
        <w:t>honorum</w:t>
      </w:r>
      <w:proofErr w:type="spellEnd"/>
      <w:r w:rsidR="004C4F14">
        <w:rPr>
          <w:i/>
          <w:iCs/>
        </w:rPr>
        <w:t xml:space="preserve">.  </w:t>
      </w:r>
      <w:r w:rsidR="004C4F14">
        <w:t xml:space="preserve">In the medieval church of Rome this </w:t>
      </w:r>
      <w:proofErr w:type="spellStart"/>
      <w:r w:rsidR="004C4F14">
        <w:rPr>
          <w:i/>
          <w:iCs/>
        </w:rPr>
        <w:t>cursus</w:t>
      </w:r>
      <w:proofErr w:type="spellEnd"/>
      <w:r w:rsidR="004C4F14">
        <w:rPr>
          <w:i/>
          <w:iCs/>
        </w:rPr>
        <w:t xml:space="preserve"> </w:t>
      </w:r>
      <w:proofErr w:type="spellStart"/>
      <w:r w:rsidR="004C4F14">
        <w:rPr>
          <w:i/>
          <w:iCs/>
        </w:rPr>
        <w:t>honorum</w:t>
      </w:r>
      <w:proofErr w:type="spellEnd"/>
      <w:r w:rsidR="004C4F14">
        <w:rPr>
          <w:i/>
          <w:iCs/>
        </w:rPr>
        <w:t xml:space="preserve"> </w:t>
      </w:r>
      <w:r w:rsidR="004C4F14">
        <w:t>took the following form:   porter, lector, exorcist, acolyte (the minor orders), followed by sub-deacon, deacon, presbyter and bishop (the major orders).</w:t>
      </w:r>
      <w:r w:rsidR="004C4F14">
        <w:rPr>
          <w:rStyle w:val="FootnoteReference"/>
        </w:rPr>
        <w:footnoteReference w:id="9"/>
      </w:r>
      <w:r w:rsidR="00E4785E">
        <w:t xml:space="preserve">  Lost was the sense of a plurality of ministries exercised by a multitude of the faithful for the building up of the church and in the service of the church’s mission.</w:t>
      </w:r>
    </w:p>
    <w:p w14:paraId="1E95DBCC" w14:textId="08D6839E" w:rsidR="00D36D1B" w:rsidRDefault="004C4F14" w:rsidP="00D917F0">
      <w:r>
        <w:lastRenderedPageBreak/>
        <w:t xml:space="preserve">A second factor was </w:t>
      </w:r>
      <w:r w:rsidR="00E4785E">
        <w:t xml:space="preserve">the </w:t>
      </w:r>
      <w:r w:rsidR="00D36D1B">
        <w:t>debate regarding the theology of the Eucharist</w:t>
      </w:r>
      <w:r w:rsidR="00E4785E">
        <w:t xml:space="preserve"> that began in the ninth century</w:t>
      </w:r>
      <w:r w:rsidR="00D36D1B">
        <w:t>.  Prior to the ninth century there was a broad consensus in the church regarding two features of eucharistic theology:  1) it was thoroughly ecclesial in character, that is</w:t>
      </w:r>
      <w:r w:rsidR="00E4785E">
        <w:t>,</w:t>
      </w:r>
      <w:r w:rsidR="00D36D1B">
        <w:t xml:space="preserve"> we understood the Eucharist as effecting the transformation of the gathered community into the body of Christ, and 2) the theology of the </w:t>
      </w:r>
      <w:r>
        <w:rPr>
          <w:rFonts w:eastAsia="Times New Roman" w:cstheme="minorHAnsi"/>
        </w:rPr>
        <w:t>Eucharist</w:t>
      </w:r>
      <w:r w:rsidR="00D36D1B" w:rsidRPr="004C4F14">
        <w:rPr>
          <w:rFonts w:eastAsia="Times New Roman" w:cstheme="minorHAnsi"/>
        </w:rPr>
        <w:t xml:space="preserve"> </w:t>
      </w:r>
      <w:r w:rsidR="00D36D1B">
        <w:t xml:space="preserve">focused on its </w:t>
      </w:r>
      <w:r w:rsidR="00D36D1B" w:rsidRPr="00D36D1B">
        <w:rPr>
          <w:rFonts w:eastAsia="Times New Roman" w:cstheme="minorHAnsi"/>
        </w:rPr>
        <w:t xml:space="preserve">ultimate </w:t>
      </w:r>
      <w:r w:rsidR="00D36D1B" w:rsidRPr="00D36D1B">
        <w:rPr>
          <w:rFonts w:eastAsia="Times New Roman" w:cstheme="minorHAnsi"/>
          <w:i/>
        </w:rPr>
        <w:t>purpose</w:t>
      </w:r>
      <w:r w:rsidR="00D36D1B" w:rsidRPr="00D36D1B">
        <w:rPr>
          <w:rFonts w:eastAsia="Times New Roman" w:cstheme="minorHAnsi"/>
        </w:rPr>
        <w:t xml:space="preserve">, mainly bringing the believer into contact with the saving work of Christ crucified and risen.  </w:t>
      </w:r>
      <w:r w:rsidR="00D36D1B">
        <w:t>In the 9</w:t>
      </w:r>
      <w:r w:rsidR="00D36D1B" w:rsidRPr="00C87617">
        <w:rPr>
          <w:vertAlign w:val="superscript"/>
        </w:rPr>
        <w:t>th</w:t>
      </w:r>
      <w:r w:rsidR="00D36D1B">
        <w:t xml:space="preserve"> century </w:t>
      </w:r>
      <w:r w:rsidR="00E4785E">
        <w:t xml:space="preserve">we see these two features supplanted by a </w:t>
      </w:r>
      <w:r w:rsidR="00D36D1B">
        <w:t xml:space="preserve">Eucharistic theology focused on the spiritual dynamics that transformed </w:t>
      </w:r>
      <w:r w:rsidR="00E4785E">
        <w:t xml:space="preserve">the Eucharistic elements of </w:t>
      </w:r>
      <w:r w:rsidR="00D36D1B">
        <w:t>bread and wine into the body and blood of Christ.</w:t>
      </w:r>
      <w:r w:rsidR="006A7F27">
        <w:rPr>
          <w:rStyle w:val="FootnoteReference"/>
        </w:rPr>
        <w:footnoteReference w:id="10"/>
      </w:r>
    </w:p>
    <w:p w14:paraId="761DDDE0" w14:textId="77777777" w:rsidR="005B785C" w:rsidRDefault="00E4785E" w:rsidP="00D36D1B">
      <w:r>
        <w:t xml:space="preserve">This singular focus on the transformation of the Eucharistic elements led to a gradual neglect of the transformation of the Eucharistic community.  With </w:t>
      </w:r>
      <w:r w:rsidR="00D36D1B">
        <w:t xml:space="preserve">Eucharist and church no longer closely related, ministry involving one need not involve the other.  </w:t>
      </w:r>
      <w:r w:rsidR="006A7F27">
        <w:t xml:space="preserve">This separation is reflected in the growing significance of the canonical distinction between the </w:t>
      </w:r>
      <w:proofErr w:type="spellStart"/>
      <w:r w:rsidR="006A7F27" w:rsidRPr="00F42D51">
        <w:rPr>
          <w:i/>
        </w:rPr>
        <w:t>potestas</w:t>
      </w:r>
      <w:proofErr w:type="spellEnd"/>
      <w:r w:rsidR="006A7F27" w:rsidRPr="00F42D51">
        <w:rPr>
          <w:i/>
        </w:rPr>
        <w:t xml:space="preserve"> </w:t>
      </w:r>
      <w:proofErr w:type="spellStart"/>
      <w:r w:rsidR="006A7F27" w:rsidRPr="00F42D51">
        <w:rPr>
          <w:i/>
        </w:rPr>
        <w:t>ordinis</w:t>
      </w:r>
      <w:proofErr w:type="spellEnd"/>
      <w:r w:rsidR="006A7F27">
        <w:t xml:space="preserve"> and the </w:t>
      </w:r>
      <w:proofErr w:type="spellStart"/>
      <w:r w:rsidR="006A7F27" w:rsidRPr="00F42D51">
        <w:rPr>
          <w:i/>
        </w:rPr>
        <w:t>potestas</w:t>
      </w:r>
      <w:proofErr w:type="spellEnd"/>
      <w:r w:rsidR="006A7F27" w:rsidRPr="00F42D51">
        <w:rPr>
          <w:i/>
        </w:rPr>
        <w:t xml:space="preserve"> </w:t>
      </w:r>
      <w:proofErr w:type="spellStart"/>
      <w:r w:rsidR="006A7F27" w:rsidRPr="00F42D51">
        <w:rPr>
          <w:i/>
        </w:rPr>
        <w:t>iurisdictionis</w:t>
      </w:r>
      <w:proofErr w:type="spellEnd"/>
      <w:r w:rsidR="006A7F27">
        <w:t>.</w:t>
      </w:r>
      <w:r w:rsidR="006A7F27">
        <w:rPr>
          <w:rStyle w:val="FootnoteReference"/>
        </w:rPr>
        <w:footnoteReference w:id="11"/>
      </w:r>
      <w:r w:rsidR="006A7F27">
        <w:t xml:space="preserve">  </w:t>
      </w:r>
      <w:r w:rsidR="00D36D1B">
        <w:t xml:space="preserve">That is, it was increasingly possible to ordain one to sacramental ministry apart from pastoral </w:t>
      </w:r>
      <w:r>
        <w:t>leadership of a living Eucharistic community</w:t>
      </w:r>
      <w:r w:rsidR="00D36D1B">
        <w:t xml:space="preserve">.  The consequence was a shift away from ordained ministry conceived as service to a community and toward ordained ministry conceived as the exercise of </w:t>
      </w:r>
      <w:r>
        <w:t xml:space="preserve">sacramental </w:t>
      </w:r>
      <w:r w:rsidR="00D36D1B">
        <w:t xml:space="preserve">power.  </w:t>
      </w:r>
      <w:r>
        <w:t>The p</w:t>
      </w:r>
      <w:r w:rsidR="00D36D1B">
        <w:t xml:space="preserve">riesthood would now be understood almost exclusively as the power to confect the Eucharist and absolve sins with no substantive reference to a real flesh and blood community.  </w:t>
      </w:r>
    </w:p>
    <w:p w14:paraId="72D5C020" w14:textId="55496672" w:rsidR="00D917F0" w:rsidRDefault="00D36D1B" w:rsidP="00335793">
      <w:r>
        <w:t xml:space="preserve">A third </w:t>
      </w:r>
      <w:r w:rsidR="004C4F14">
        <w:t xml:space="preserve">factor </w:t>
      </w:r>
      <w:r>
        <w:t>in the development of a sacral priesthood came in the seventeenth century</w:t>
      </w:r>
      <w:r w:rsidR="00E4785E">
        <w:t xml:space="preserve"> </w:t>
      </w:r>
      <w:r w:rsidR="004C4F14">
        <w:t xml:space="preserve">with the rise </w:t>
      </w:r>
      <w:r>
        <w:t xml:space="preserve">of </w:t>
      </w:r>
      <w:r w:rsidR="00335793">
        <w:t xml:space="preserve">the so called “French School” of spirituality led by </w:t>
      </w:r>
      <w:r w:rsidR="0090423F">
        <w:t xml:space="preserve">Pierre de </w:t>
      </w:r>
      <w:proofErr w:type="spellStart"/>
      <w:r w:rsidR="0090423F">
        <w:t>Bérulle</w:t>
      </w:r>
      <w:proofErr w:type="spellEnd"/>
      <w:r w:rsidR="0090423F">
        <w:t xml:space="preserve">, Jean </w:t>
      </w:r>
      <w:proofErr w:type="spellStart"/>
      <w:r w:rsidR="0090423F">
        <w:t>Eudes</w:t>
      </w:r>
      <w:proofErr w:type="spellEnd"/>
      <w:r w:rsidR="0090423F">
        <w:t xml:space="preserve"> and Vincent de Paul.</w:t>
      </w:r>
      <w:r w:rsidR="0090423F">
        <w:rPr>
          <w:rStyle w:val="FootnoteReference"/>
        </w:rPr>
        <w:footnoteReference w:id="12"/>
      </w:r>
      <w:r w:rsidR="0090423F">
        <w:t xml:space="preserve">   </w:t>
      </w:r>
      <w:r w:rsidR="00335793">
        <w:t xml:space="preserve">In this </w:t>
      </w:r>
      <w:r w:rsidR="00335793">
        <w:lastRenderedPageBreak/>
        <w:t xml:space="preserve">spiritual framework we see a pronounced emphasis on the priest </w:t>
      </w:r>
      <w:r w:rsidR="0090423F">
        <w:t xml:space="preserve">as an </w:t>
      </w:r>
      <w:r w:rsidR="0090423F" w:rsidRPr="0090423F">
        <w:rPr>
          <w:i/>
          <w:iCs/>
        </w:rPr>
        <w:t xml:space="preserve">alter </w:t>
      </w:r>
      <w:proofErr w:type="spellStart"/>
      <w:r w:rsidR="0090423F" w:rsidRPr="0090423F">
        <w:rPr>
          <w:i/>
          <w:iCs/>
        </w:rPr>
        <w:t>Christus</w:t>
      </w:r>
      <w:proofErr w:type="spellEnd"/>
      <w:r w:rsidR="0090423F" w:rsidRPr="0090423F">
        <w:rPr>
          <w:i/>
          <w:iCs/>
        </w:rPr>
        <w:t xml:space="preserve">, </w:t>
      </w:r>
      <w:r w:rsidR="0090423F">
        <w:t>“another</w:t>
      </w:r>
      <w:r w:rsidR="00335793">
        <w:t xml:space="preserve"> Christ.</w:t>
      </w:r>
      <w:r w:rsidR="0090423F">
        <w:t xml:space="preserve">” The French school consistently viewed the priest as representing Christ through his interior holiness and the offering of the holy sacrifice of the </w:t>
      </w:r>
      <w:r w:rsidR="00335793">
        <w:t>Eucharist</w:t>
      </w:r>
      <w:r w:rsidR="0090423F">
        <w:t xml:space="preserve">.  In this line of thought the entire theology of the priesthood was reduced to one essential moment, when the priest pronounces the words of institution.  The priest represented Christ not in his action or service on behalf of the kingdom, but in his very being.  This spirituality was spread worldwide by the </w:t>
      </w:r>
      <w:proofErr w:type="spellStart"/>
      <w:r w:rsidR="0090423F">
        <w:t>Oratorians</w:t>
      </w:r>
      <w:proofErr w:type="spellEnd"/>
      <w:r w:rsidR="0090423F">
        <w:t xml:space="preserve">, Vincentians and </w:t>
      </w:r>
      <w:proofErr w:type="spellStart"/>
      <w:r w:rsidR="0090423F">
        <w:t>Sulpicians</w:t>
      </w:r>
      <w:proofErr w:type="spellEnd"/>
      <w:r w:rsidR="0090423F">
        <w:t xml:space="preserve"> who staffed numerous</w:t>
      </w:r>
      <w:r w:rsidR="00BA682A">
        <w:t xml:space="preserve"> seminaries</w:t>
      </w:r>
      <w:r w:rsidR="0090423F">
        <w:t>.  Indeed, for much of the first half of the 20</w:t>
      </w:r>
      <w:r w:rsidR="0090423F" w:rsidRPr="0090423F">
        <w:rPr>
          <w:vertAlign w:val="superscript"/>
        </w:rPr>
        <w:t>th</w:t>
      </w:r>
      <w:r w:rsidR="0090423F">
        <w:t xml:space="preserve"> century, priests were nourished on a classic expression of this spirituality in Dom </w:t>
      </w:r>
      <w:proofErr w:type="spellStart"/>
      <w:r w:rsidR="0090423F">
        <w:t>Marmion’s</w:t>
      </w:r>
      <w:proofErr w:type="spellEnd"/>
      <w:r w:rsidR="0090423F">
        <w:t xml:space="preserve"> </w:t>
      </w:r>
      <w:r w:rsidR="0090423F" w:rsidRPr="0090423F">
        <w:rPr>
          <w:i/>
          <w:iCs/>
        </w:rPr>
        <w:t>Christ—The Ideal of the Priest.</w:t>
      </w:r>
      <w:r w:rsidR="0090423F">
        <w:rPr>
          <w:rStyle w:val="FootnoteReference"/>
        </w:rPr>
        <w:footnoteReference w:id="13"/>
      </w:r>
      <w:r w:rsidR="0090423F">
        <w:t xml:space="preserve">   It is this perspective that provided the foundation for the modern argument that women could not be ordained priest because they could not sacramentally represent Christ as “head of the church.”</w:t>
      </w:r>
      <w:r w:rsidR="00D917F0" w:rsidRPr="00D917F0">
        <w:t xml:space="preserve"> </w:t>
      </w:r>
    </w:p>
    <w:p w14:paraId="0D387F3E" w14:textId="77777777" w:rsidR="00D917F0" w:rsidRDefault="00D917F0" w:rsidP="00D917F0">
      <w:r>
        <w:t xml:space="preserve">This Gregorian form, </w:t>
      </w:r>
      <w:r w:rsidR="00335793">
        <w:t xml:space="preserve">built on the foundation of an </w:t>
      </w:r>
      <w:proofErr w:type="spellStart"/>
      <w:r w:rsidR="00335793">
        <w:t>illuminationist</w:t>
      </w:r>
      <w:proofErr w:type="spellEnd"/>
      <w:r w:rsidR="00335793">
        <w:t xml:space="preserve"> theology of revelation, a </w:t>
      </w:r>
      <w:proofErr w:type="spellStart"/>
      <w:r w:rsidR="00335793">
        <w:t>papocentric</w:t>
      </w:r>
      <w:proofErr w:type="spellEnd"/>
      <w:r w:rsidR="00335793">
        <w:t xml:space="preserve"> view of church authority and a sacral priesthood, was </w:t>
      </w:r>
      <w:r>
        <w:t>born out of the womb of medieval society,</w:t>
      </w:r>
      <w:r w:rsidR="00335793">
        <w:t xml:space="preserve"> where much of it was quite intelligible.</w:t>
      </w:r>
      <w:r w:rsidR="00477B5E">
        <w:rPr>
          <w:rStyle w:val="FootnoteReference"/>
        </w:rPr>
        <w:footnoteReference w:id="14"/>
      </w:r>
      <w:r w:rsidR="00335793">
        <w:t xml:space="preserve">  Unfortunately, it continued long </w:t>
      </w:r>
      <w:r>
        <w:t xml:space="preserve">after the cultural forms of medieval society died out.  Indeed, it has persisted into the present, in spite of countervailing forces, not the least of which was the thoroughgoing </w:t>
      </w:r>
      <w:r w:rsidRPr="0052384E">
        <w:rPr>
          <w:i/>
        </w:rPr>
        <w:t>aggiornamento</w:t>
      </w:r>
      <w:r>
        <w:t xml:space="preserve"> </w:t>
      </w:r>
      <w:r w:rsidRPr="0052384E">
        <w:t>and</w:t>
      </w:r>
      <w:r>
        <w:t xml:space="preserve"> </w:t>
      </w:r>
      <w:proofErr w:type="spellStart"/>
      <w:r>
        <w:rPr>
          <w:i/>
        </w:rPr>
        <w:t>ressourcement</w:t>
      </w:r>
      <w:proofErr w:type="spellEnd"/>
      <w:r>
        <w:rPr>
          <w:i/>
        </w:rPr>
        <w:t xml:space="preserve"> </w:t>
      </w:r>
      <w:r>
        <w:t xml:space="preserve">undertaken by the Second Vatican Council.  This form continues to cast its large shadow over the ecclesial context of the exercise of theology today.  </w:t>
      </w:r>
    </w:p>
    <w:p w14:paraId="4B762B7D" w14:textId="77777777" w:rsidR="00335793" w:rsidRDefault="00335793" w:rsidP="00C92F4C">
      <w:pPr>
        <w:pStyle w:val="Heading1"/>
        <w:numPr>
          <w:ilvl w:val="0"/>
          <w:numId w:val="2"/>
        </w:numPr>
      </w:pPr>
      <w:r>
        <w:t>Central Pillars in the Council’s Theological Vision</w:t>
      </w:r>
    </w:p>
    <w:p w14:paraId="0F6F3C92" w14:textId="521126E5" w:rsidR="00486052" w:rsidRDefault="00BA682A" w:rsidP="00283271">
      <w:r>
        <w:lastRenderedPageBreak/>
        <w:t xml:space="preserve">One could plausibly interpret the intentions of the council as an effort to </w:t>
      </w:r>
      <w:r w:rsidR="00477B5E">
        <w:t xml:space="preserve">confront and </w:t>
      </w:r>
      <w:r>
        <w:t>move beyond this Gregorian form by recalling a more ancient ecclesial vision and attending carefully to the pastoral concerns of the present moment.</w:t>
      </w:r>
      <w:r w:rsidR="00486052">
        <w:t xml:space="preserve">  This confrontation did not, however, constitute a repudiation of the Gregorian form in its entirety.  Clearly the council recognized the enduring elements in the Gregorian form, and in many ways it continued to affirm the basic hierarchical structure of the church.  Nevertheless, the council proposed what we can think of as a new configuration of these enduring elements.  For example, </w:t>
      </w:r>
      <w:proofErr w:type="spellStart"/>
      <w:r w:rsidR="00486052" w:rsidRPr="00BD23A8">
        <w:rPr>
          <w:i/>
        </w:rPr>
        <w:t>Sacrosanctum</w:t>
      </w:r>
      <w:proofErr w:type="spellEnd"/>
      <w:r w:rsidR="00486052" w:rsidRPr="00BD23A8">
        <w:rPr>
          <w:i/>
        </w:rPr>
        <w:t xml:space="preserve"> </w:t>
      </w:r>
      <w:proofErr w:type="spellStart"/>
      <w:r w:rsidR="00486052" w:rsidRPr="00BD23A8">
        <w:rPr>
          <w:i/>
        </w:rPr>
        <w:t>concilium</w:t>
      </w:r>
      <w:proofErr w:type="spellEnd"/>
      <w:r w:rsidR="00486052">
        <w:t xml:space="preserve"> affirmed the hierarchical structure of the church but</w:t>
      </w:r>
      <w:r w:rsidR="008A2F96">
        <w:t>,</w:t>
      </w:r>
      <w:r w:rsidR="00486052">
        <w:t xml:space="preserve"> by setting it in the context of the liturgy</w:t>
      </w:r>
      <w:r w:rsidR="008A2F96">
        <w:t>,</w:t>
      </w:r>
      <w:r w:rsidR="00486052">
        <w:t xml:space="preserve"> it gave a more relational understanding of hierarchy than was evident in the Gregorian form.  When the Constitution on the Sacred Liturgy refers to the “hierarchic and communal nature of the liturgy” it does not have in mind a return to a pyramidal ecclesiology.  The liturgy can be said to be hierarchical, not in the sense of a chain of command or a pyramidal structure, but in the sense that the liturgy manifests the church as an </w:t>
      </w:r>
      <w:r w:rsidR="00486052">
        <w:rPr>
          <w:i/>
          <w:iCs/>
        </w:rPr>
        <w:t>ordered</w:t>
      </w:r>
      <w:r w:rsidR="00486052">
        <w:t xml:space="preserve"> communion with a great diversity of ministries and Christian activities that together build up the life of the church.</w:t>
      </w:r>
    </w:p>
    <w:p w14:paraId="39735E91" w14:textId="29312356" w:rsidR="00C92F4C" w:rsidRPr="00C92F4C" w:rsidRDefault="00BA682A" w:rsidP="00283271">
      <w:r>
        <w:t xml:space="preserve">Even though the imposing edifice of the Gregorian form continued to influence the council, it was able to establish the foundations for a new vision of the church, foundations reflected in </w:t>
      </w:r>
      <w:r w:rsidR="00283271">
        <w:t>six “</w:t>
      </w:r>
      <w:r>
        <w:t>pillars</w:t>
      </w:r>
      <w:r w:rsidR="00283271">
        <w:t>” of conciliar teaching.</w:t>
      </w:r>
      <w:r>
        <w:rPr>
          <w:rStyle w:val="FootnoteReference"/>
        </w:rPr>
        <w:footnoteReference w:id="15"/>
      </w:r>
    </w:p>
    <w:p w14:paraId="19FFBCFD" w14:textId="77777777" w:rsidR="00335793" w:rsidRDefault="00335793" w:rsidP="00D43803">
      <w:pPr>
        <w:pStyle w:val="Heading2"/>
      </w:pPr>
      <w:proofErr w:type="spellStart"/>
      <w:r>
        <w:t>Personalist</w:t>
      </w:r>
      <w:proofErr w:type="spellEnd"/>
      <w:r>
        <w:t xml:space="preserve"> </w:t>
      </w:r>
      <w:r w:rsidR="005B7968">
        <w:t xml:space="preserve">and Trinitarian </w:t>
      </w:r>
      <w:r>
        <w:t xml:space="preserve">Theology of Divine Revelation </w:t>
      </w:r>
    </w:p>
    <w:p w14:paraId="0302075C" w14:textId="77777777" w:rsidR="00CC4178" w:rsidRDefault="00335793" w:rsidP="00335793">
      <w:r>
        <w:t xml:space="preserve">A number of theologians have suggested that an adequate assessment of the theology of Vatican II must begin with </w:t>
      </w:r>
      <w:r w:rsidR="000B65BF">
        <w:t>the Dogmatic Constitution on Divine Revelation (</w:t>
      </w:r>
      <w:r>
        <w:rPr>
          <w:i/>
        </w:rPr>
        <w:t>Dei Verbum</w:t>
      </w:r>
      <w:r w:rsidR="000B65BF" w:rsidRPr="000B65BF">
        <w:t>)</w:t>
      </w:r>
      <w:r>
        <w:rPr>
          <w:i/>
        </w:rPr>
        <w:t xml:space="preserve"> </w:t>
      </w:r>
      <w:r>
        <w:t>and its theology of revelation.</w:t>
      </w:r>
      <w:r w:rsidR="00972756">
        <w:rPr>
          <w:rStyle w:val="FootnoteReference"/>
        </w:rPr>
        <w:footnoteReference w:id="16"/>
      </w:r>
      <w:r>
        <w:t xml:space="preserve">  </w:t>
      </w:r>
      <w:r w:rsidR="00A60FFA">
        <w:t xml:space="preserve">In the </w:t>
      </w:r>
      <w:r w:rsidR="00A60FFA">
        <w:lastRenderedPageBreak/>
        <w:t xml:space="preserve">Dogmatic Constitution on Divine Revelation we discover </w:t>
      </w:r>
      <w:r>
        <w:t xml:space="preserve">a striking shift away from an </w:t>
      </w:r>
      <w:proofErr w:type="spellStart"/>
      <w:r w:rsidR="00437C0F">
        <w:t>illuminationist</w:t>
      </w:r>
      <w:proofErr w:type="spellEnd"/>
      <w:r w:rsidR="00437C0F">
        <w:t xml:space="preserve"> theology of revelation to </w:t>
      </w:r>
      <w:r>
        <w:t>a theology of revelation that begins with</w:t>
      </w:r>
      <w:r w:rsidR="004C4F14">
        <w:t xml:space="preserve"> a thoroughly Trinitarian account of God revealing </w:t>
      </w:r>
      <w:proofErr w:type="spellStart"/>
      <w:r w:rsidR="004C4F14">
        <w:t>Godself</w:t>
      </w:r>
      <w:proofErr w:type="spellEnd"/>
      <w:r w:rsidR="004C4F14">
        <w:t xml:space="preserve"> to us </w:t>
      </w:r>
      <w:r>
        <w:t xml:space="preserve">in Christ by the power of the Holy Spirit.  </w:t>
      </w:r>
    </w:p>
    <w:p w14:paraId="7FE118E7" w14:textId="77777777" w:rsidR="00CC4178" w:rsidRDefault="00CC4178" w:rsidP="00F42D51">
      <w:pPr>
        <w:pStyle w:val="QU"/>
      </w:pPr>
      <w:r>
        <w:t>It pleased God, in his goodness and wisdom, to reveal himself and to make known the mystery of his will, which was that people can draw near to the Father, through Christ, the Word made flesh, in the holy Spirit, and thus become sharers in the divine nature (DV 2).</w:t>
      </w:r>
      <w:r>
        <w:rPr>
          <w:rStyle w:val="FootnoteReference"/>
        </w:rPr>
        <w:footnoteReference w:id="17"/>
      </w:r>
    </w:p>
    <w:p w14:paraId="798556DE" w14:textId="77777777" w:rsidR="00CC4178" w:rsidRDefault="00BB585F" w:rsidP="00F42D51">
      <w:pPr>
        <w:ind w:firstLine="0"/>
      </w:pPr>
      <w:r>
        <w:t>The council’s theology of</w:t>
      </w:r>
      <w:r w:rsidR="00A60FFA">
        <w:t xml:space="preserve"> r</w:t>
      </w:r>
      <w:r w:rsidR="00335793">
        <w:t>evelati</w:t>
      </w:r>
      <w:r>
        <w:t>on wa</w:t>
      </w:r>
      <w:r w:rsidR="004C4F14">
        <w:t>s deeply Christocentric;</w:t>
      </w:r>
      <w:r w:rsidR="00335793">
        <w:t xml:space="preserve"> it begins not with doctrines but with Christ</w:t>
      </w:r>
      <w:r w:rsidR="004C4F14">
        <w:t xml:space="preserve"> and God’s desire that we enter into a communion of divine friendship through Christ and in the Spirit</w:t>
      </w:r>
      <w:r w:rsidR="00335793">
        <w:t>.</w:t>
      </w:r>
      <w:r w:rsidR="0019550D">
        <w:t xml:space="preserve">  </w:t>
      </w:r>
    </w:p>
    <w:p w14:paraId="0B628AA6" w14:textId="77777777" w:rsidR="00CC4178" w:rsidRDefault="00CC4178" w:rsidP="00F42D51">
      <w:pPr>
        <w:pStyle w:val="QU"/>
      </w:pPr>
      <w:r>
        <w:t>By this revelation, then, the invisible God, from the fullness of his love, addresses men and women as his friends, and lives among them</w:t>
      </w:r>
      <w:r w:rsidR="005B1199">
        <w:t xml:space="preserve"> in order to invite and receive them into his own company (DV 2).  </w:t>
      </w:r>
    </w:p>
    <w:p w14:paraId="5E6DA97E" w14:textId="77777777" w:rsidR="00A60FFA" w:rsidRDefault="00BB585F" w:rsidP="00F42D51">
      <w:pPr>
        <w:ind w:firstLine="0"/>
      </w:pPr>
      <w:r>
        <w:t>This theological perspective serves a</w:t>
      </w:r>
      <w:r w:rsidR="0006100C">
        <w:t>s a</w:t>
      </w:r>
      <w:r>
        <w:t xml:space="preserve"> corrective for certain </w:t>
      </w:r>
      <w:r w:rsidR="0006100C">
        <w:t xml:space="preserve">theological </w:t>
      </w:r>
      <w:r>
        <w:t xml:space="preserve">accounts which imagine that revelation is nothing more than a collection of truths that can be mastered through study.  A Trinitarian theology of revelation reminds us that knowledge of God is not like knowledge of the periodic tables in chemistry or of the public bus schedule.  The knowledge of God that has been revealed to us </w:t>
      </w:r>
      <w:r w:rsidR="006F3CE1">
        <w:t xml:space="preserve">in Christ </w:t>
      </w:r>
      <w:r>
        <w:t xml:space="preserve">is the kind of knowledge gained in personal relationship.  We come to know God through our relationship with Christ and in his Spirit.  </w:t>
      </w:r>
      <w:r w:rsidR="00964CA0">
        <w:t xml:space="preserve">God’s revelation is portrayed as an event of divine self-communication. </w:t>
      </w:r>
      <w:r w:rsidR="00A60FFA">
        <w:t xml:space="preserve">The council’s theology of revelation was not just communicative; it was also dialogical in its structure.  </w:t>
      </w:r>
    </w:p>
    <w:p w14:paraId="61847C10" w14:textId="77777777" w:rsidR="00C90C4D" w:rsidRDefault="00A60FFA" w:rsidP="00335793">
      <w:r>
        <w:t xml:space="preserve">The </w:t>
      </w:r>
      <w:proofErr w:type="spellStart"/>
      <w:r>
        <w:t>illuminationist</w:t>
      </w:r>
      <w:proofErr w:type="spellEnd"/>
      <w:r>
        <w:t xml:space="preserve"> theology of revelation also saw revelation as an event of divine communication, but it imagined that communication as unidirectional, from God through scripture, tradition and the magisterium to </w:t>
      </w:r>
      <w:r>
        <w:lastRenderedPageBreak/>
        <w:t>the church.</w:t>
      </w:r>
      <w:r>
        <w:rPr>
          <w:rStyle w:val="FootnoteReference"/>
        </w:rPr>
        <w:footnoteReference w:id="18"/>
      </w:r>
      <w:r>
        <w:t xml:space="preserve">  </w:t>
      </w:r>
      <w:r w:rsidR="006F3CE1">
        <w:rPr>
          <w:i/>
        </w:rPr>
        <w:t>Dei V</w:t>
      </w:r>
      <w:r>
        <w:rPr>
          <w:i/>
        </w:rPr>
        <w:t xml:space="preserve">erbum, </w:t>
      </w:r>
      <w:r>
        <w:t>by contrast, sees this event of divine communication as genuinely dialogical</w:t>
      </w:r>
      <w:proofErr w:type="gramStart"/>
      <w:r>
        <w:t>;  God’s</w:t>
      </w:r>
      <w:proofErr w:type="gramEnd"/>
      <w:r>
        <w:t xml:space="preserve"> self-communication invites, even demands our response as a response of faith and communion. </w:t>
      </w:r>
    </w:p>
    <w:p w14:paraId="300C208A" w14:textId="5D256432" w:rsidR="00335793" w:rsidRDefault="00C90C4D" w:rsidP="00F42D51">
      <w:pPr>
        <w:pStyle w:val="QU"/>
      </w:pPr>
      <w:r>
        <w:t xml:space="preserve">For this faith to be accorded we need the grace of God, anticipating it and assisting it, as </w:t>
      </w:r>
      <w:proofErr w:type="spellStart"/>
      <w:r>
        <w:t>wel</w:t>
      </w:r>
      <w:proofErr w:type="spellEnd"/>
      <w:r>
        <w:t xml:space="preserve"> as the interior helps of the holy Spirit, who moves the heart and converts it to God, and opens the eyes of the mind and “makes it easy for all to accept and believe the truth” (DV 5).</w:t>
      </w:r>
    </w:p>
    <w:p w14:paraId="5C4918D6" w14:textId="77777777" w:rsidR="00A60FFA" w:rsidRPr="00501379" w:rsidRDefault="00A60FFA" w:rsidP="00335793">
      <w:pPr>
        <w:rPr>
          <w:i/>
        </w:rPr>
      </w:pPr>
      <w:r>
        <w:t xml:space="preserve">This shift has sweeping implications for the life of the church.  If the revelatory event is truly dialogical then our response to God’s revelation is theologically significant.  Within the </w:t>
      </w:r>
      <w:proofErr w:type="spellStart"/>
      <w:r>
        <w:t>illuminationist</w:t>
      </w:r>
      <w:proofErr w:type="spellEnd"/>
      <w:r>
        <w:t xml:space="preserve"> theology of revelation,</w:t>
      </w:r>
      <w:r w:rsidR="00501379">
        <w:t xml:space="preserve"> normative teaching and docile obedience </w:t>
      </w:r>
      <w:r w:rsidR="006F3CE1">
        <w:t>was</w:t>
      </w:r>
      <w:r w:rsidR="00501379">
        <w:t xml:space="preserve"> primary.  If, however, the revelatory event is truly dialogical, then church teaching can no longer be strictly discursive in character; we must conceive of the whole church, including those who hold apostolic office, teaching </w:t>
      </w:r>
      <w:r w:rsidR="00501379">
        <w:rPr>
          <w:i/>
        </w:rPr>
        <w:t xml:space="preserve">and learning.  </w:t>
      </w:r>
      <w:r w:rsidR="00501379">
        <w:t xml:space="preserve"> The council stressed this at numerous points:  1) it recognized the need for biblical hermeneutics in order to arrive at an adequate interpretation and reception of the Word of God as it is mediated through Scripture (DV 12); 2) it placed the magisterium at the service of God’s Word (DV 10);  3) it affirmed that all God’s people contribute to the development of tradition (DV 8);  4) it acknowledged the supernatural instinct for the faith (</w:t>
      </w:r>
      <w:proofErr w:type="spellStart"/>
      <w:r w:rsidR="00501379">
        <w:rPr>
          <w:i/>
        </w:rPr>
        <w:t>sensus</w:t>
      </w:r>
      <w:proofErr w:type="spellEnd"/>
      <w:r w:rsidR="00501379">
        <w:rPr>
          <w:i/>
        </w:rPr>
        <w:t xml:space="preserve"> </w:t>
      </w:r>
      <w:proofErr w:type="spellStart"/>
      <w:r w:rsidR="00501379">
        <w:rPr>
          <w:i/>
        </w:rPr>
        <w:t>fidei</w:t>
      </w:r>
      <w:proofErr w:type="spellEnd"/>
      <w:r w:rsidR="00501379" w:rsidRPr="00501379">
        <w:t>)</w:t>
      </w:r>
      <w:r w:rsidR="00501379">
        <w:t xml:space="preserve"> given to all believers by baptism which allowed them to penetrating the meaning of God’s Word.  </w:t>
      </w:r>
    </w:p>
    <w:p w14:paraId="7B4AA740" w14:textId="77777777" w:rsidR="00335793" w:rsidRDefault="0006100C" w:rsidP="00D43803">
      <w:pPr>
        <w:pStyle w:val="Heading2"/>
      </w:pPr>
      <w:r>
        <w:t>Dia</w:t>
      </w:r>
      <w:r w:rsidR="00335793">
        <w:t xml:space="preserve">logical </w:t>
      </w:r>
      <w:r w:rsidR="00335793" w:rsidRPr="0006100C">
        <w:t>Engagement</w:t>
      </w:r>
      <w:r w:rsidR="00335793">
        <w:t xml:space="preserve">, with other Christians, </w:t>
      </w:r>
      <w:r w:rsidR="00C76A24">
        <w:t xml:space="preserve">other </w:t>
      </w:r>
      <w:r w:rsidR="00335793">
        <w:t xml:space="preserve">Religions and </w:t>
      </w:r>
      <w:r w:rsidR="00C76A24">
        <w:t>the World Itself</w:t>
      </w:r>
    </w:p>
    <w:p w14:paraId="79FF3676" w14:textId="77777777" w:rsidR="00335793" w:rsidRDefault="00501379" w:rsidP="00335793">
      <w:r>
        <w:t xml:space="preserve">The dialogical character of divine revelation sketched out above served as a theological foundation for the fundamental role of dialogue in the life of the church.  </w:t>
      </w:r>
      <w:r w:rsidR="00335793">
        <w:t xml:space="preserve">For </w:t>
      </w:r>
      <w:r w:rsidR="00D04208">
        <w:t xml:space="preserve">the historian John </w:t>
      </w:r>
      <w:r w:rsidR="00335793">
        <w:t>O’Malley, one of the most striking features of the council was its emphasis on the priority of dialogue</w:t>
      </w:r>
      <w:r w:rsidR="00D04208">
        <w:t>:</w:t>
      </w:r>
      <w:r w:rsidR="00335793">
        <w:t xml:space="preserve"> dialogue among the members of the church, </w:t>
      </w:r>
      <w:r w:rsidR="00335793">
        <w:lastRenderedPageBreak/>
        <w:t>dialogue with other Christians, other religions and the world itself.</w:t>
      </w:r>
      <w:r w:rsidR="00335793">
        <w:rPr>
          <w:rStyle w:val="FootnoteReference"/>
        </w:rPr>
        <w:footnoteReference w:id="19"/>
      </w:r>
      <w:r w:rsidR="00335793">
        <w:t xml:space="preserve">  </w:t>
      </w:r>
      <w:r w:rsidR="006F3CE1">
        <w:t>D</w:t>
      </w:r>
      <w:r w:rsidR="00D04208">
        <w:t>ialogue within the church must embrace the contributions of theologians, scholars and especially the laity.</w:t>
      </w:r>
    </w:p>
    <w:p w14:paraId="4ED94294" w14:textId="7E81B6B7" w:rsidR="00D04208" w:rsidRDefault="00D04208" w:rsidP="00D04208">
      <w:pPr>
        <w:pStyle w:val="QU"/>
      </w:pPr>
      <w:r>
        <w:t>The laity should disclose their needs and desires to the pastors with that liberty and confidence which befits children of God and brothers and sisters in Christ.  To the extent of their knowledge, competence or authority the laity are entitled, and indeed sometimes duty-bound, to express their opinion on matters which concern the good of the church (LG 37).</w:t>
      </w:r>
    </w:p>
    <w:p w14:paraId="7FDC0F63" w14:textId="77777777" w:rsidR="00E56C24" w:rsidRDefault="00E56C24" w:rsidP="00E56C24">
      <w:pPr>
        <w:pStyle w:val="Postquote"/>
      </w:pPr>
      <w:r>
        <w:t>Speaking of the mission of the church, the council affirms that</w:t>
      </w:r>
    </w:p>
    <w:p w14:paraId="3847512F" w14:textId="77777777" w:rsidR="00E56C24" w:rsidRDefault="00E56C24" w:rsidP="00E56C24">
      <w:pPr>
        <w:pStyle w:val="QU"/>
      </w:pPr>
      <w:r>
        <w:t xml:space="preserve">Such a mission requires us first of all to create in the church itself mutual esteem, reverence and harmony, and the acknowledge all legitimate diversity;  in this way all who constitute the one people of God will be able to engage in ever more fruitful dialogue, whether they are pastors or other members of the faithful.  For the ties which unite the faithful together are stronger than those which separate them:  let there be unity in what is necessary, freedom in what is doubtful, and charity in everything (GS 92). </w:t>
      </w:r>
    </w:p>
    <w:p w14:paraId="23025A9B" w14:textId="77777777" w:rsidR="00E56C24" w:rsidRDefault="00E56C24" w:rsidP="00E56C24">
      <w:pPr>
        <w:pStyle w:val="Postquote"/>
      </w:pPr>
      <w:r>
        <w:t xml:space="preserve">The council would extend this commitment to dialogue beyond the Roman Catholic </w:t>
      </w:r>
      <w:r w:rsidR="006F3CE1">
        <w:t>Church</w:t>
      </w:r>
      <w:r>
        <w:t xml:space="preserve"> to its engagements with other Christians.  In its Decree on Ecumenism the council effectively repudiated a pre-conciliar “ecumenism of return” in favor of an honest dialogue with other Christians in which Catholicism would have to admit that in past divisions within the body of Christ “people on both sides were to blame” (UR 3).  </w:t>
      </w:r>
    </w:p>
    <w:p w14:paraId="2C5AC0AE" w14:textId="77777777" w:rsidR="00E56C24" w:rsidRDefault="00E56C24" w:rsidP="00E56C24">
      <w:r>
        <w:t>The spirit of dialogue was carried forward by the council into the church’s engagement with other world religions</w:t>
      </w:r>
      <w:r w:rsidR="00C76A24">
        <w:t>.  In its Decl</w:t>
      </w:r>
      <w:r w:rsidR="006F3CE1">
        <w:t>aration on the Relation of the C</w:t>
      </w:r>
      <w:r w:rsidR="00C76A24">
        <w:t>hurch to Non-Christian Religions</w:t>
      </w:r>
      <w:r w:rsidR="000B65BF">
        <w:t xml:space="preserve"> (</w:t>
      </w:r>
      <w:r w:rsidR="000B65BF">
        <w:rPr>
          <w:i/>
        </w:rPr>
        <w:t xml:space="preserve">Nostra </w:t>
      </w:r>
      <w:proofErr w:type="spellStart"/>
      <w:r w:rsidR="000B65BF">
        <w:rPr>
          <w:i/>
        </w:rPr>
        <w:t>aetate</w:t>
      </w:r>
      <w:proofErr w:type="spellEnd"/>
      <w:r w:rsidR="000B65BF">
        <w:t>)</w:t>
      </w:r>
      <w:r w:rsidR="00C76A24">
        <w:t xml:space="preserve">, the church </w:t>
      </w:r>
    </w:p>
    <w:p w14:paraId="309E9AEB" w14:textId="77777777" w:rsidR="00E56C24" w:rsidRDefault="006F3CE1" w:rsidP="00E56C24">
      <w:pPr>
        <w:pStyle w:val="QU"/>
      </w:pPr>
      <w:r>
        <w:t>[u]</w:t>
      </w:r>
      <w:proofErr w:type="spellStart"/>
      <w:r w:rsidR="00E56C24">
        <w:t>rges</w:t>
      </w:r>
      <w:proofErr w:type="spellEnd"/>
      <w:r w:rsidR="00E56C24">
        <w:t xml:space="preserve"> its sons and daughters to enter with prudence and charity into discussion and collaboratio</w:t>
      </w:r>
      <w:r w:rsidR="00C76A24">
        <w:t>n with members of other religion</w:t>
      </w:r>
      <w:r w:rsidR="00E56C24">
        <w:t xml:space="preserve">s.  Let Christians, while witnessing to their own </w:t>
      </w:r>
      <w:r w:rsidR="00C76A24">
        <w:t>faith</w:t>
      </w:r>
      <w:r w:rsidR="00E56C24">
        <w:t xml:space="preserve"> and way of life, acknowledge, preserve and encourage the spiritual and moral truths found a</w:t>
      </w:r>
      <w:r w:rsidR="00C76A24">
        <w:t>mong non-C</w:t>
      </w:r>
      <w:r w:rsidR="00E56C24">
        <w:t xml:space="preserve">hristians, together with their </w:t>
      </w:r>
      <w:r w:rsidR="00C76A24">
        <w:t>social</w:t>
      </w:r>
      <w:r w:rsidR="00E56C24">
        <w:t xml:space="preserve"> life and culture (NA</w:t>
      </w:r>
      <w:r w:rsidR="00C76A24">
        <w:t>2).</w:t>
      </w:r>
    </w:p>
    <w:p w14:paraId="4FA9FCB1" w14:textId="77777777" w:rsidR="00C76A24" w:rsidRPr="00C76A24" w:rsidRDefault="00C76A24" w:rsidP="00C76A24">
      <w:pPr>
        <w:pStyle w:val="Postquote"/>
      </w:pPr>
      <w:r>
        <w:t xml:space="preserve">Finally, in its Pastoral Constitution on the Church in the Modern World </w:t>
      </w:r>
      <w:r w:rsidR="000B65BF">
        <w:t>(</w:t>
      </w:r>
      <w:proofErr w:type="spellStart"/>
      <w:r w:rsidR="000B65BF">
        <w:rPr>
          <w:i/>
        </w:rPr>
        <w:t>Gaudium</w:t>
      </w:r>
      <w:proofErr w:type="spellEnd"/>
      <w:r w:rsidR="000B65BF">
        <w:rPr>
          <w:i/>
        </w:rPr>
        <w:t xml:space="preserve"> et </w:t>
      </w:r>
      <w:proofErr w:type="spellStart"/>
      <w:r w:rsidR="000B65BF" w:rsidRPr="000B65BF">
        <w:rPr>
          <w:i/>
        </w:rPr>
        <w:t>spes</w:t>
      </w:r>
      <w:proofErr w:type="spellEnd"/>
      <w:r w:rsidR="000B65BF">
        <w:t xml:space="preserve">) </w:t>
      </w:r>
      <w:r w:rsidRPr="000B65BF">
        <w:t>the</w:t>
      </w:r>
      <w:r>
        <w:t xml:space="preserve"> council recognized a properly dialogical relationship with the world itself.  Within that relationship the church brings something to the world, the precious gift of Jesus Christ (GS 41-3, 45), but it also humbly receives from the world (GS 44). </w:t>
      </w:r>
    </w:p>
    <w:p w14:paraId="474FEB8A" w14:textId="77777777" w:rsidR="00335793" w:rsidRDefault="00335793" w:rsidP="00D43803">
      <w:pPr>
        <w:pStyle w:val="Heading2"/>
      </w:pPr>
      <w:r>
        <w:lastRenderedPageBreak/>
        <w:t>The Priority of Baptism</w:t>
      </w:r>
    </w:p>
    <w:p w14:paraId="600BF3C8" w14:textId="58B57D19" w:rsidR="006A7819" w:rsidRDefault="00C76A24" w:rsidP="00C76A24">
      <w:r>
        <w:rPr>
          <w:rFonts w:eastAsia="Times New Roman"/>
        </w:rPr>
        <w:t xml:space="preserve">The dominance of a sacral priesthood in the Gregorian form of the church led to a vision of the church that presupposed a gaping ontological divide between the clergy and the laity.  This tendency to see the church as fundamentally a </w:t>
      </w:r>
      <w:proofErr w:type="spellStart"/>
      <w:r w:rsidRPr="00C76A24">
        <w:rPr>
          <w:rFonts w:eastAsia="Times New Roman"/>
          <w:i/>
        </w:rPr>
        <w:t>societas</w:t>
      </w:r>
      <w:proofErr w:type="spellEnd"/>
      <w:r w:rsidRPr="00C76A24">
        <w:rPr>
          <w:rFonts w:eastAsia="Times New Roman"/>
          <w:i/>
        </w:rPr>
        <w:t xml:space="preserve"> </w:t>
      </w:r>
      <w:proofErr w:type="spellStart"/>
      <w:r w:rsidRPr="00C76A24">
        <w:rPr>
          <w:rFonts w:eastAsia="Times New Roman"/>
          <w:i/>
        </w:rPr>
        <w:t>inequalis</w:t>
      </w:r>
      <w:proofErr w:type="spellEnd"/>
      <w:r>
        <w:rPr>
          <w:rFonts w:eastAsia="Times New Roman"/>
        </w:rPr>
        <w:t>, an unequal society comprised of two ranks, clergy and laity, was directly challenged in the teaching of the council.</w:t>
      </w:r>
      <w:r w:rsidR="00C90C4D">
        <w:rPr>
          <w:rStyle w:val="FootnoteReference"/>
          <w:rFonts w:eastAsia="Times New Roman"/>
        </w:rPr>
        <w:footnoteReference w:id="20"/>
      </w:r>
      <w:r>
        <w:rPr>
          <w:rFonts w:eastAsia="Times New Roman"/>
        </w:rPr>
        <w:t xml:space="preserve">  This was accomplished in part by the council’s efforts to develop a more positive theology of the laity.  However, its more lasting achievement was the result of its reaffirmation of the priority of Christian baptism in any theological account of the church. </w:t>
      </w:r>
      <w:r w:rsidR="006A7819">
        <w:rPr>
          <w:rFonts w:eastAsia="Times New Roman"/>
        </w:rPr>
        <w:t xml:space="preserve">In a number of texts the council reminded us that it was </w:t>
      </w:r>
      <w:r w:rsidR="00335793">
        <w:rPr>
          <w:rFonts w:eastAsia="Times New Roman"/>
        </w:rPr>
        <w:t xml:space="preserve">baptism and not ordination or marriage or professed vows that confers our most basic Christian identity. </w:t>
      </w:r>
      <w:r w:rsidR="006A7819">
        <w:rPr>
          <w:rFonts w:eastAsia="Times New Roman"/>
        </w:rPr>
        <w:t xml:space="preserve"> The Constitution on the Sacred Liturgy </w:t>
      </w:r>
      <w:r w:rsidR="000B65BF">
        <w:rPr>
          <w:rFonts w:eastAsia="Times New Roman"/>
        </w:rPr>
        <w:t>(</w:t>
      </w:r>
      <w:proofErr w:type="spellStart"/>
      <w:r w:rsidR="000B65BF">
        <w:rPr>
          <w:rFonts w:eastAsia="Times New Roman"/>
          <w:i/>
        </w:rPr>
        <w:t>Sacrosanctum</w:t>
      </w:r>
      <w:proofErr w:type="spellEnd"/>
      <w:r w:rsidR="000B65BF">
        <w:rPr>
          <w:rFonts w:eastAsia="Times New Roman"/>
          <w:i/>
        </w:rPr>
        <w:t xml:space="preserve"> </w:t>
      </w:r>
      <w:proofErr w:type="spellStart"/>
      <w:r w:rsidR="000B65BF">
        <w:rPr>
          <w:rFonts w:eastAsia="Times New Roman"/>
          <w:i/>
        </w:rPr>
        <w:t>concilium</w:t>
      </w:r>
      <w:proofErr w:type="spellEnd"/>
      <w:r w:rsidR="000B65BF" w:rsidRPr="000B65BF">
        <w:rPr>
          <w:rFonts w:eastAsia="Times New Roman"/>
        </w:rPr>
        <w:t>)</w:t>
      </w:r>
      <w:r w:rsidR="000B65BF">
        <w:rPr>
          <w:rFonts w:eastAsia="Times New Roman"/>
          <w:i/>
        </w:rPr>
        <w:t xml:space="preserve"> </w:t>
      </w:r>
      <w:r w:rsidR="006A7819">
        <w:t>reminded us</w:t>
      </w:r>
      <w:r w:rsidR="006A7819">
        <w:rPr>
          <w:i/>
          <w:iCs/>
        </w:rPr>
        <w:t xml:space="preserve">, </w:t>
      </w:r>
      <w:r w:rsidR="006A7819">
        <w:t xml:space="preserve">not only in its call for the reform of the rites of initiation but also in its focus on the whole worshipping assembly, that our primary identity as Christians is not as lay or cleric but as a member of the baptized called to participate in the life and worship of the church.  </w:t>
      </w:r>
    </w:p>
    <w:p w14:paraId="73B80D8A" w14:textId="4E84563F" w:rsidR="006E0C7E" w:rsidRDefault="006E0C7E" w:rsidP="00F42D51">
      <w:pPr>
        <w:pStyle w:val="QU"/>
      </w:pPr>
      <w:r>
        <w:t>It is very much the wish of the church that all the faithful should be led to take that full, conscious, and active part in liturgical celebrations which is demanded by the very nature of the liturgy, and to which the Christian people, “a chosen race, a royal priesthood, a holy nation, a redeemed people have a right and to which they are bound by reasons of their Baptism (SC 14).</w:t>
      </w:r>
    </w:p>
    <w:p w14:paraId="45943A04" w14:textId="45ED8282" w:rsidR="006A7819" w:rsidRDefault="006A7819" w:rsidP="00C76A24">
      <w:pPr>
        <w:rPr>
          <w:rFonts w:eastAsia="Times New Roman"/>
        </w:rPr>
      </w:pPr>
      <w:r>
        <w:t xml:space="preserve">This focus on the primacy of baptism was further developed in </w:t>
      </w:r>
      <w:r w:rsidR="000B65BF">
        <w:t>Dogmatic Constitution on the Church (</w:t>
      </w:r>
      <w:r>
        <w:rPr>
          <w:i/>
          <w:iCs/>
        </w:rPr>
        <w:t xml:space="preserve">Lumen </w:t>
      </w:r>
      <w:proofErr w:type="spellStart"/>
      <w:r>
        <w:rPr>
          <w:i/>
          <w:iCs/>
        </w:rPr>
        <w:t>gentium</w:t>
      </w:r>
      <w:proofErr w:type="spellEnd"/>
      <w:r w:rsidR="000B65BF">
        <w:rPr>
          <w:iCs/>
        </w:rPr>
        <w:t>)</w:t>
      </w:r>
      <w:r>
        <w:rPr>
          <w:i/>
          <w:iCs/>
        </w:rPr>
        <w:t>,</w:t>
      </w:r>
      <w:r>
        <w:t xml:space="preserve"> in particular in its consideration of the church as people of God and temple of the Holy Spirit.  The decision to place the chapter on the people of God before the chapter on the hierarchy</w:t>
      </w:r>
      <w:r w:rsidR="006E0C7E">
        <w:rPr>
          <w:rStyle w:val="FootnoteReference"/>
        </w:rPr>
        <w:footnoteReference w:id="21"/>
      </w:r>
      <w:r>
        <w:t xml:space="preserve"> expressed a profound ecclesiological principle:  we must begin with what unites us—faith and baptism—before we can consider what distinguishes us (e.g., ordination). This does not deny, of course, that Christians may be further “ordered” in </w:t>
      </w:r>
      <w:r>
        <w:lastRenderedPageBreak/>
        <w:t xml:space="preserve">service of the church by sacramental ordination.  It does mean, as Bishop </w:t>
      </w:r>
      <w:proofErr w:type="spellStart"/>
      <w:r>
        <w:t>Franjo</w:t>
      </w:r>
      <w:proofErr w:type="spellEnd"/>
      <w:r>
        <w:t xml:space="preserve"> </w:t>
      </w:r>
      <w:proofErr w:type="spellStart"/>
      <w:r>
        <w:t>Seper</w:t>
      </w:r>
      <w:proofErr w:type="spellEnd"/>
      <w:r>
        <w:t xml:space="preserve"> of Zagreb noted at the council, that the ordained do not cease being members of the people of God after ordination</w:t>
      </w:r>
      <w:r w:rsidR="00FE7B09">
        <w:t>; the</w:t>
      </w:r>
      <w:r>
        <w:t xml:space="preserve"> obligations that are theirs by virtue of baptism and confirmation still remain.</w:t>
      </w:r>
      <w:r>
        <w:rPr>
          <w:rStyle w:val="FootnoteReference"/>
        </w:rPr>
        <w:footnoteReference w:id="22"/>
      </w:r>
      <w:r>
        <w:t xml:space="preserve"> </w:t>
      </w:r>
      <w:r w:rsidR="00FE7B09">
        <w:t>I</w:t>
      </w:r>
      <w:r>
        <w:rPr>
          <w:rFonts w:eastAsia="Times New Roman"/>
        </w:rPr>
        <w:t xml:space="preserve">n </w:t>
      </w:r>
      <w:r w:rsidR="000B65BF">
        <w:rPr>
          <w:rFonts w:eastAsia="Times New Roman"/>
          <w:i/>
        </w:rPr>
        <w:t xml:space="preserve">Lumen </w:t>
      </w:r>
      <w:proofErr w:type="spellStart"/>
      <w:r w:rsidR="000B65BF">
        <w:rPr>
          <w:rFonts w:eastAsia="Times New Roman"/>
          <w:i/>
        </w:rPr>
        <w:t>gentium</w:t>
      </w:r>
      <w:proofErr w:type="spellEnd"/>
      <w:r>
        <w:rPr>
          <w:rFonts w:eastAsia="Times New Roman"/>
        </w:rPr>
        <w:t xml:space="preserve"> the council affirms the common baptism of all believers before it develops a theology</w:t>
      </w:r>
      <w:r w:rsidR="006F3CE1">
        <w:rPr>
          <w:rFonts w:eastAsia="Times New Roman"/>
        </w:rPr>
        <w:t xml:space="preserve"> of the ministerial priesthood:</w:t>
      </w:r>
      <w:r>
        <w:rPr>
          <w:rFonts w:eastAsia="Times New Roman"/>
        </w:rPr>
        <w:t xml:space="preserve"> </w:t>
      </w:r>
    </w:p>
    <w:p w14:paraId="628276AE" w14:textId="77777777" w:rsidR="006A7819" w:rsidRDefault="006A7819" w:rsidP="006A7819">
      <w:pPr>
        <w:pStyle w:val="QU"/>
        <w:rPr>
          <w:rFonts w:eastAsia="Times New Roman"/>
        </w:rPr>
      </w:pPr>
      <w:r>
        <w:rPr>
          <w:rFonts w:eastAsia="Times New Roman"/>
        </w:rPr>
        <w:t>Christ the Lord, high priest taken from the midst of humanity, made the new people “a kingdom of priests to his god and Father.”  The baptized, by regeneration and the anointing of the Holy Spirit, are consecrated as a spiritual house and a holy priesthood, that through all their Christian activities they may offer spiritual sacrifices and proclaim the marvels of him who has called them out of darkness into his wonderful light (LG 10).</w:t>
      </w:r>
    </w:p>
    <w:p w14:paraId="420FD923" w14:textId="4F24DA2C" w:rsidR="0002532E" w:rsidRPr="0002532E" w:rsidRDefault="00677045" w:rsidP="0002532E">
      <w:pPr>
        <w:pStyle w:val="Postquote"/>
      </w:pPr>
      <w:r>
        <w:t xml:space="preserve">The practical implications of this shift are pithily summed up in the off-handed remark of one of the most influential bishops at the council, Belgium’s </w:t>
      </w:r>
      <w:r w:rsidR="0002532E">
        <w:t xml:space="preserve">Cardinal </w:t>
      </w:r>
      <w:r>
        <w:t xml:space="preserve">Leo </w:t>
      </w:r>
      <w:proofErr w:type="spellStart"/>
      <w:r w:rsidR="0002532E">
        <w:t>Suenens</w:t>
      </w:r>
      <w:proofErr w:type="spellEnd"/>
      <w:r w:rsidR="0002532E">
        <w:t>: “a pope’s finest moment is not that of his election or consecration, but that of his baptism.”</w:t>
      </w:r>
      <w:r w:rsidR="0002532E">
        <w:rPr>
          <w:rStyle w:val="FootnoteReference"/>
        </w:rPr>
        <w:footnoteReference w:id="23"/>
      </w:r>
      <w:r w:rsidR="0002532E">
        <w:t xml:space="preserve">  </w:t>
      </w:r>
    </w:p>
    <w:p w14:paraId="7509EB14" w14:textId="77777777" w:rsidR="00335793" w:rsidRDefault="00335793" w:rsidP="00D43803">
      <w:pPr>
        <w:pStyle w:val="Heading2"/>
      </w:pPr>
      <w:r>
        <w:t>Renewed Emphasis on the Holy Spirit</w:t>
      </w:r>
    </w:p>
    <w:p w14:paraId="188C5687" w14:textId="77777777" w:rsidR="00335793" w:rsidRDefault="00335793" w:rsidP="00437C0F">
      <w:pPr>
        <w:rPr>
          <w:rFonts w:eastAsia="Times New Roman"/>
        </w:rPr>
      </w:pPr>
      <w:r>
        <w:rPr>
          <w:rFonts w:eastAsia="Times New Roman"/>
        </w:rPr>
        <w:t>In continuity with the teaching of Pius XII, the council offered a beaut</w:t>
      </w:r>
      <w:r w:rsidR="006F3CE1">
        <w:rPr>
          <w:rFonts w:eastAsia="Times New Roman"/>
        </w:rPr>
        <w:t>iful meditation on the c</w:t>
      </w:r>
      <w:r>
        <w:rPr>
          <w:rFonts w:eastAsia="Times New Roman"/>
        </w:rPr>
        <w:t>hurch as the Body of Christ, but it added to this a reflection on the role of the Holy Spirit “which dwells in the church and in the hearts of the faithful as in a temple”</w:t>
      </w:r>
      <w:r w:rsidR="006F3CE1">
        <w:rPr>
          <w:rFonts w:eastAsia="Times New Roman"/>
        </w:rPr>
        <w:t xml:space="preserve"> (LG 4).</w:t>
      </w:r>
      <w:r>
        <w:rPr>
          <w:rFonts w:eastAsia="Times New Roman"/>
        </w:rPr>
        <w:t xml:space="preserve">  </w:t>
      </w:r>
      <w:r w:rsidR="00FE7B09">
        <w:rPr>
          <w:rFonts w:eastAsia="Times New Roman"/>
        </w:rPr>
        <w:t xml:space="preserve">The council’s recovery of a theology of the Holy Spirit is evident in two particular contributions of the council:  its theology of </w:t>
      </w:r>
      <w:proofErr w:type="spellStart"/>
      <w:r w:rsidR="00FE7B09">
        <w:rPr>
          <w:rFonts w:eastAsia="Times New Roman"/>
        </w:rPr>
        <w:t>charisms</w:t>
      </w:r>
      <w:proofErr w:type="spellEnd"/>
      <w:r w:rsidR="00FE7B09">
        <w:rPr>
          <w:rFonts w:eastAsia="Times New Roman"/>
        </w:rPr>
        <w:t xml:space="preserve"> and its theology of the sense of the faithful.   </w:t>
      </w:r>
    </w:p>
    <w:p w14:paraId="5AE0410C" w14:textId="53D29DC1" w:rsidR="00335793" w:rsidRDefault="00FE7B09" w:rsidP="00437C0F">
      <w:pPr>
        <w:rPr>
          <w:rFonts w:eastAsia="Times New Roman"/>
        </w:rPr>
      </w:pPr>
      <w:r>
        <w:rPr>
          <w:rFonts w:eastAsia="Times New Roman"/>
        </w:rPr>
        <w:t>The council taught that the Spirit “guides the church in the way of all truth and, uniting it in fellowship and ministry, bestows upon it different hierarchic and charismatic gifts, and in this way directs it and adorns it with his fruits</w:t>
      </w:r>
      <w:r w:rsidR="006F3CE1">
        <w:rPr>
          <w:rFonts w:eastAsia="Times New Roman"/>
        </w:rPr>
        <w:t>”</w:t>
      </w:r>
      <w:r>
        <w:rPr>
          <w:rFonts w:eastAsia="Times New Roman"/>
        </w:rPr>
        <w:t xml:space="preserve"> (LG 4).  In this crucial passage </w:t>
      </w:r>
      <w:r w:rsidR="00335793">
        <w:rPr>
          <w:rFonts w:eastAsia="Times New Roman"/>
        </w:rPr>
        <w:t xml:space="preserve">“hierarchic gifts” refers to stable church office and “charismatic gifts” refers to those many </w:t>
      </w:r>
      <w:proofErr w:type="spellStart"/>
      <w:r w:rsidR="00335793">
        <w:rPr>
          <w:rFonts w:eastAsia="Times New Roman"/>
        </w:rPr>
        <w:t>charisms</w:t>
      </w:r>
      <w:proofErr w:type="spellEnd"/>
      <w:r w:rsidR="00335793">
        <w:rPr>
          <w:rFonts w:eastAsia="Times New Roman"/>
        </w:rPr>
        <w:t xml:space="preserve"> that the Spirit distributes among all the faithful.  </w:t>
      </w:r>
      <w:r w:rsidR="006F3CE1">
        <w:rPr>
          <w:rFonts w:eastAsia="Times New Roman"/>
        </w:rPr>
        <w:t xml:space="preserve">In council teaching, </w:t>
      </w:r>
      <w:proofErr w:type="spellStart"/>
      <w:r w:rsidR="006F3CE1">
        <w:rPr>
          <w:rFonts w:eastAsia="Times New Roman"/>
        </w:rPr>
        <w:t>c</w:t>
      </w:r>
      <w:r w:rsidR="00335793">
        <w:rPr>
          <w:rFonts w:eastAsia="Times New Roman"/>
        </w:rPr>
        <w:t>harism</w:t>
      </w:r>
      <w:proofErr w:type="spellEnd"/>
      <w:r w:rsidR="00335793">
        <w:rPr>
          <w:rFonts w:eastAsia="Times New Roman"/>
        </w:rPr>
        <w:t xml:space="preserve"> and </w:t>
      </w:r>
      <w:r w:rsidR="00335793">
        <w:rPr>
          <w:rFonts w:eastAsia="Times New Roman"/>
        </w:rPr>
        <w:lastRenderedPageBreak/>
        <w:t xml:space="preserve">office are not opposed to one another since both have the Spirit as their origin.  The council acknowledged that church office could not exist unless it was animated by the Holy Spirit and </w:t>
      </w:r>
      <w:proofErr w:type="spellStart"/>
      <w:r w:rsidR="00335793">
        <w:rPr>
          <w:rFonts w:eastAsia="Times New Roman"/>
        </w:rPr>
        <w:t>charisms</w:t>
      </w:r>
      <w:proofErr w:type="spellEnd"/>
      <w:r w:rsidR="00335793">
        <w:rPr>
          <w:rFonts w:eastAsia="Times New Roman"/>
        </w:rPr>
        <w:t xml:space="preserve"> could not survive unless they submitted to an ordering which sough</w:t>
      </w:r>
      <w:r>
        <w:rPr>
          <w:rFonts w:eastAsia="Times New Roman"/>
        </w:rPr>
        <w:t>t the good of the whole c</w:t>
      </w:r>
      <w:r w:rsidR="00335793">
        <w:rPr>
          <w:rFonts w:eastAsia="Times New Roman"/>
        </w:rPr>
        <w:t xml:space="preserve">hurch.  </w:t>
      </w:r>
    </w:p>
    <w:p w14:paraId="682C588D" w14:textId="77777777" w:rsidR="00335793" w:rsidRDefault="00335793" w:rsidP="00437C0F">
      <w:pPr>
        <w:rPr>
          <w:rFonts w:eastAsia="Times New Roman"/>
        </w:rPr>
      </w:pPr>
      <w:r>
        <w:rPr>
          <w:rFonts w:eastAsia="Times New Roman"/>
        </w:rPr>
        <w:t>By appealing to the biblical concept of charism the council was able to affirm the indispensable role of all t</w:t>
      </w:r>
      <w:r w:rsidR="0082494E">
        <w:rPr>
          <w:rFonts w:eastAsia="Times New Roman"/>
        </w:rPr>
        <w:t>he faithful in building up the c</w:t>
      </w:r>
      <w:r>
        <w:rPr>
          <w:rFonts w:eastAsia="Times New Roman"/>
        </w:rPr>
        <w:t>hurch and assis</w:t>
      </w:r>
      <w:r w:rsidR="0082494E">
        <w:rPr>
          <w:rFonts w:eastAsia="Times New Roman"/>
        </w:rPr>
        <w:t>ting in the fulfillment of the c</w:t>
      </w:r>
      <w:r>
        <w:rPr>
          <w:rFonts w:eastAsia="Times New Roman"/>
        </w:rPr>
        <w:t>hurch’s mission in the world.  The bishops wrote: “It is not only through the sacraments and the ministries that the holy Spirit makes the people holy, leads them and enriches them with his virtues.  Allotting his gifts ‘at will to each individual,’ he also distributes special graces among the faithful of every rank” (LG 12). Although few if any at the council could have anticipated the flourishing of lay ministries t</w:t>
      </w:r>
      <w:r w:rsidR="006F3CE1">
        <w:rPr>
          <w:rFonts w:eastAsia="Times New Roman"/>
        </w:rPr>
        <w:t xml:space="preserve">hat would occur in the ensuing </w:t>
      </w:r>
      <w:r>
        <w:rPr>
          <w:rFonts w:eastAsia="Times New Roman"/>
        </w:rPr>
        <w:t xml:space="preserve">decades, it is this emphasis on the </w:t>
      </w:r>
      <w:proofErr w:type="spellStart"/>
      <w:r>
        <w:rPr>
          <w:rFonts w:eastAsia="Times New Roman"/>
        </w:rPr>
        <w:t>charisms</w:t>
      </w:r>
      <w:proofErr w:type="spellEnd"/>
      <w:r>
        <w:rPr>
          <w:rFonts w:eastAsia="Times New Roman"/>
        </w:rPr>
        <w:t xml:space="preserve"> of all the baptized that provided a helpful theological framework for interpreting that later post-conciliar development of lay ministry.  </w:t>
      </w:r>
    </w:p>
    <w:p w14:paraId="084E0858" w14:textId="77777777" w:rsidR="00335793" w:rsidRDefault="00335793" w:rsidP="00437C0F">
      <w:pPr>
        <w:rPr>
          <w:rFonts w:eastAsia="Times New Roman"/>
        </w:rPr>
      </w:pPr>
      <w:r>
        <w:rPr>
          <w:rFonts w:eastAsia="Times New Roman"/>
        </w:rPr>
        <w:t xml:space="preserve">One of the ways in which the council was able to get beyond the </w:t>
      </w:r>
      <w:r w:rsidR="0082494E">
        <w:rPr>
          <w:rFonts w:eastAsia="Times New Roman"/>
        </w:rPr>
        <w:t xml:space="preserve">opposition of </w:t>
      </w:r>
      <w:proofErr w:type="spellStart"/>
      <w:r>
        <w:rPr>
          <w:rFonts w:eastAsia="Times New Roman"/>
        </w:rPr>
        <w:t>charism</w:t>
      </w:r>
      <w:proofErr w:type="spellEnd"/>
      <w:r>
        <w:rPr>
          <w:rFonts w:eastAsia="Times New Roman"/>
        </w:rPr>
        <w:t xml:space="preserve"> vs. office was to stress the reciprocal relationship that obtains between the two terms.  In several passages the council suggested a possible theology of ordained pastoral leadership within a community animated by many </w:t>
      </w:r>
      <w:proofErr w:type="spellStart"/>
      <w:r>
        <w:rPr>
          <w:rFonts w:eastAsia="Times New Roman"/>
        </w:rPr>
        <w:t>charisms</w:t>
      </w:r>
      <w:proofErr w:type="spellEnd"/>
      <w:r>
        <w:rPr>
          <w:rFonts w:eastAsia="Times New Roman"/>
        </w:rPr>
        <w:t xml:space="preserve">.  The pastoral leadership of the ordained need not compete with the exercise of the many gifts of the faithful.  Each requires the other.  According to conciliar teaching, those ordained to pastoral leadership were not to absorb into their own ministry all the tasks proper to building up the </w:t>
      </w:r>
      <w:r w:rsidR="006F3CE1">
        <w:rPr>
          <w:rFonts w:eastAsia="Times New Roman"/>
        </w:rPr>
        <w:t>church.  Rather the c</w:t>
      </w:r>
      <w:r>
        <w:rPr>
          <w:rFonts w:eastAsia="Times New Roman"/>
        </w:rPr>
        <w:t xml:space="preserve">hurch’s pastors were exhorted to recognize, empower and affirm the gifts of all God’s people.  In the Decree on the Apostolate of the Laity </w:t>
      </w:r>
      <w:r w:rsidR="000B65BF">
        <w:rPr>
          <w:rFonts w:eastAsia="Times New Roman"/>
        </w:rPr>
        <w:t>(</w:t>
      </w:r>
      <w:proofErr w:type="spellStart"/>
      <w:r w:rsidR="000B65BF">
        <w:rPr>
          <w:rFonts w:eastAsia="Times New Roman"/>
          <w:i/>
        </w:rPr>
        <w:t>Apostolicam</w:t>
      </w:r>
      <w:proofErr w:type="spellEnd"/>
      <w:r w:rsidR="000B65BF">
        <w:rPr>
          <w:rFonts w:eastAsia="Times New Roman"/>
          <w:i/>
        </w:rPr>
        <w:t xml:space="preserve"> </w:t>
      </w:r>
      <w:proofErr w:type="spellStart"/>
      <w:r w:rsidR="000B65BF">
        <w:rPr>
          <w:rFonts w:eastAsia="Times New Roman"/>
          <w:i/>
        </w:rPr>
        <w:t>acutositatem</w:t>
      </w:r>
      <w:proofErr w:type="spellEnd"/>
      <w:r w:rsidR="000B65BF" w:rsidRPr="000B65BF">
        <w:rPr>
          <w:rFonts w:eastAsia="Times New Roman"/>
        </w:rPr>
        <w:t>)</w:t>
      </w:r>
      <w:r w:rsidR="000B65BF">
        <w:rPr>
          <w:rFonts w:eastAsia="Times New Roman"/>
          <w:i/>
        </w:rPr>
        <w:t xml:space="preserve"> </w:t>
      </w:r>
      <w:r>
        <w:rPr>
          <w:rFonts w:eastAsia="Times New Roman"/>
        </w:rPr>
        <w:t xml:space="preserve">the council held that, having received </w:t>
      </w:r>
      <w:proofErr w:type="spellStart"/>
      <w:r>
        <w:rPr>
          <w:rFonts w:eastAsia="Times New Roman"/>
        </w:rPr>
        <w:t>charisms</w:t>
      </w:r>
      <w:proofErr w:type="spellEnd"/>
      <w:r>
        <w:rPr>
          <w:rFonts w:eastAsia="Times New Roman"/>
        </w:rPr>
        <w:t xml:space="preserve"> from the Spirit through baptism, </w:t>
      </w:r>
    </w:p>
    <w:p w14:paraId="34A2D9C2" w14:textId="77777777" w:rsidR="00335793" w:rsidRPr="00335793" w:rsidRDefault="00335793" w:rsidP="00335793">
      <w:pPr>
        <w:pStyle w:val="QU"/>
      </w:pPr>
      <w:r w:rsidRPr="00335793">
        <w:t xml:space="preserve">there follow for all Christian believers the right and duty to use them in the Church and in the world for the good of humanity and the development of the Church, to use them in the freedom of the holy Spirit who “chooses where to blow,” and at the same time in communion with the sisters and brothers in Christ, and with the pastors especially.  It is for the pastors to </w:t>
      </w:r>
      <w:r w:rsidRPr="00335793">
        <w:lastRenderedPageBreak/>
        <w:t>pass judgment on the authenticity and good us of these gifts, not certainly with a view to quenching the Spirit but to testing everything and keeping what is good (AA 3).</w:t>
      </w:r>
    </w:p>
    <w:p w14:paraId="6688AD62" w14:textId="77777777" w:rsidR="00335793" w:rsidRDefault="00335793" w:rsidP="00972756">
      <w:pPr>
        <w:pStyle w:val="Postquote"/>
        <w:rPr>
          <w:rFonts w:eastAsia="Times New Roman"/>
        </w:rPr>
      </w:pPr>
      <w:r>
        <w:rPr>
          <w:rFonts w:eastAsia="Times New Roman"/>
        </w:rPr>
        <w:t xml:space="preserve">The Decree on Priestly Ministry and Life </w:t>
      </w:r>
      <w:r w:rsidR="001F62CD">
        <w:rPr>
          <w:rFonts w:eastAsia="Times New Roman"/>
        </w:rPr>
        <w:t>(</w:t>
      </w:r>
      <w:proofErr w:type="spellStart"/>
      <w:r w:rsidR="001F62CD">
        <w:rPr>
          <w:rFonts w:eastAsia="Times New Roman"/>
          <w:i/>
        </w:rPr>
        <w:t>Presbyterorum</w:t>
      </w:r>
      <w:proofErr w:type="spellEnd"/>
      <w:r w:rsidR="001F62CD">
        <w:rPr>
          <w:rFonts w:eastAsia="Times New Roman"/>
          <w:i/>
        </w:rPr>
        <w:t xml:space="preserve"> </w:t>
      </w:r>
      <w:proofErr w:type="spellStart"/>
      <w:r w:rsidR="001F62CD">
        <w:rPr>
          <w:rFonts w:eastAsia="Times New Roman"/>
          <w:i/>
        </w:rPr>
        <w:t>ordinis</w:t>
      </w:r>
      <w:proofErr w:type="spellEnd"/>
      <w:r w:rsidR="001F62CD" w:rsidRPr="001F62CD">
        <w:rPr>
          <w:rFonts w:eastAsia="Times New Roman"/>
        </w:rPr>
        <w:t>)</w:t>
      </w:r>
      <w:r w:rsidR="001F62CD">
        <w:rPr>
          <w:rFonts w:eastAsia="Times New Roman"/>
          <w:i/>
        </w:rPr>
        <w:t xml:space="preserve"> </w:t>
      </w:r>
      <w:r>
        <w:rPr>
          <w:rFonts w:eastAsia="Times New Roman"/>
        </w:rPr>
        <w:t xml:space="preserve">likewise asserted the responsibility of the priest to affirm and nurture the gifts of the faithful:  “While testing the spirits to discover if they be of God, they must discover with faith, recognize with joy and foster diligently the many and varied charismatic gifts of the laity, whether these be of a humble or more exalted kind” (PO 9). These </w:t>
      </w:r>
      <w:r w:rsidRPr="00335793">
        <w:t>passages</w:t>
      </w:r>
      <w:r>
        <w:rPr>
          <w:rFonts w:eastAsia="Times New Roman"/>
        </w:rPr>
        <w:t xml:space="preserve"> situated ordained pastoral ministry not above but within the Christian community. The ordained minister is responsible for the discernment and coordination of the </w:t>
      </w:r>
      <w:proofErr w:type="spellStart"/>
      <w:r>
        <w:rPr>
          <w:rFonts w:eastAsia="Times New Roman"/>
        </w:rPr>
        <w:t>charisms</w:t>
      </w:r>
      <w:proofErr w:type="spellEnd"/>
      <w:r>
        <w:rPr>
          <w:rFonts w:eastAsia="Times New Roman"/>
        </w:rPr>
        <w:t xml:space="preserve"> and ministries of all the baptized. </w:t>
      </w:r>
    </w:p>
    <w:p w14:paraId="24707480" w14:textId="77777777" w:rsidR="0082494E" w:rsidRPr="0082494E" w:rsidRDefault="0082494E" w:rsidP="0082494E">
      <w:r>
        <w:t>The second fruit of the council’s renewed pneumatology is found in its teaching that the whole Christian faithful, “from the bishops down to the last of the lay faithful,”</w:t>
      </w:r>
      <w:r>
        <w:rPr>
          <w:rFonts w:ascii="Times" w:hAnsi="Times"/>
        </w:rPr>
        <w:t xml:space="preserve"> </w:t>
      </w:r>
      <w:r>
        <w:t xml:space="preserve">share in a “supernatural discernment in matters of faith.”  This spiritual gift is often referred to by the Latin term, </w:t>
      </w:r>
      <w:proofErr w:type="spellStart"/>
      <w:r>
        <w:rPr>
          <w:i/>
          <w:iCs/>
        </w:rPr>
        <w:t>sensus</w:t>
      </w:r>
      <w:proofErr w:type="spellEnd"/>
      <w:r>
        <w:rPr>
          <w:i/>
          <w:iCs/>
        </w:rPr>
        <w:t xml:space="preserve"> </w:t>
      </w:r>
      <w:proofErr w:type="spellStart"/>
      <w:r>
        <w:rPr>
          <w:i/>
          <w:iCs/>
        </w:rPr>
        <w:t>fidei</w:t>
      </w:r>
      <w:proofErr w:type="spellEnd"/>
      <w:r>
        <w:rPr>
          <w:i/>
          <w:iCs/>
        </w:rPr>
        <w:t xml:space="preserve">. </w:t>
      </w:r>
      <w:r>
        <w:t xml:space="preserve"> The people of God  “adheres unwaveringly to the faith given once and for all to the saints, penetrates it more deeply with right thinking, and applies it more fully in its life” (LG 12, see also LG 35).  It is this capacity that allows a believer, almost intuitively, to sense what is of God and what is not.   As we saw earlier, the council’s teaching on the sense of faith contributes to its dialogical understanding of revelation in which the whole people of God play a vital role in “hearing the Word of God.” </w:t>
      </w:r>
    </w:p>
    <w:p w14:paraId="09321B8F" w14:textId="77777777" w:rsidR="00335793" w:rsidRDefault="00335793" w:rsidP="00D43803">
      <w:pPr>
        <w:pStyle w:val="Heading2"/>
      </w:pPr>
      <w:r w:rsidRPr="001B52A1">
        <w:t>Episcopal</w:t>
      </w:r>
      <w:r>
        <w:t xml:space="preserve"> </w:t>
      </w:r>
      <w:r w:rsidRPr="001D6907">
        <w:t>Collegiality</w:t>
      </w:r>
    </w:p>
    <w:p w14:paraId="6257F43F" w14:textId="77777777" w:rsidR="00642696" w:rsidRDefault="00642696" w:rsidP="00642696">
      <w:r>
        <w:t xml:space="preserve">In its teaching on episcopal collegiality we find yet another instance of the council’s attempt to move beyond the imposing shadow of the Gregorian form of the church.  In particular, the council sought to distance itself from almost a thousand years of papal </w:t>
      </w:r>
      <w:proofErr w:type="spellStart"/>
      <w:r>
        <w:t>monarchialism</w:t>
      </w:r>
      <w:proofErr w:type="spellEnd"/>
      <w:r>
        <w:t xml:space="preserve">.  Although the council was careful to affirm </w:t>
      </w:r>
      <w:r w:rsidR="00BE11AE">
        <w:t>Vatican</w:t>
      </w:r>
      <w:r>
        <w:t xml:space="preserve"> I’s teaching on papal primacy and papal infallibility, the council reached back to a much more ancient period of church history and recalled the bond of communion shared among bishops and with the bishop of Rome that was attested to in the ancient tradition and which was reflected in the ancient custom of bishops gathering to deliberate at synods and councils</w:t>
      </w:r>
      <w:r w:rsidR="00BE11AE">
        <w:t xml:space="preserve"> (LG 23)</w:t>
      </w:r>
      <w:r>
        <w:t xml:space="preserve">.  The council taught that although the college of bishops has no </w:t>
      </w:r>
      <w:r>
        <w:lastRenderedPageBreak/>
        <w:t xml:space="preserve">authority on its own apart from communion with its head, the pope, the college shares with the bishop of Rome, and never apart from him, “supreme and full power over the universal church” (LG 22).  </w:t>
      </w:r>
    </w:p>
    <w:p w14:paraId="6341F0AC" w14:textId="77777777" w:rsidR="00642696" w:rsidRDefault="00642696" w:rsidP="00642696">
      <w:r>
        <w:t>This assertion of shared power and authority over the universal church represented the heart of the council’s teaching on collegiality.  It overcame a centuries</w:t>
      </w:r>
      <w:r w:rsidR="00BE11AE">
        <w:t>-</w:t>
      </w:r>
      <w:r>
        <w:t xml:space="preserve">long tendency to pit the college of bishops against the pope in a kind of zero-sum relationship—to assert the authority of the bishops was to take it away from the papacy, and vice versa.  The council moved beyond this opposition primarily by </w:t>
      </w:r>
      <w:r w:rsidR="00BE11AE">
        <w:t xml:space="preserve">recognizing </w:t>
      </w:r>
      <w:r>
        <w:t xml:space="preserve">the </w:t>
      </w:r>
      <w:r w:rsidR="00BE11AE">
        <w:t xml:space="preserve">place of the </w:t>
      </w:r>
      <w:r>
        <w:t>pope</w:t>
      </w:r>
      <w:r w:rsidR="00BE11AE">
        <w:t>, constituted by his episcopal ordination,</w:t>
      </w:r>
      <w:r>
        <w:t xml:space="preserve"> </w:t>
      </w:r>
      <w:r>
        <w:rPr>
          <w:i/>
          <w:iCs/>
        </w:rPr>
        <w:t>within</w:t>
      </w:r>
      <w:r>
        <w:t xml:space="preserve"> the college of bishops as its head.  Consequently, even when the pope exercised his authority apart from the explicit cooperation of the bishops, his actions must presuppose an enduring communion between the pope and the college within which the pope always stood as head.  </w:t>
      </w:r>
    </w:p>
    <w:p w14:paraId="73BAE3E0" w14:textId="77777777" w:rsidR="00335793" w:rsidRDefault="00335793" w:rsidP="00D43803">
      <w:pPr>
        <w:pStyle w:val="Heading2"/>
      </w:pPr>
      <w:r>
        <w:t>Eschatological Humility of a Pilgrim Church</w:t>
      </w:r>
      <w:r w:rsidRPr="001B5A7B">
        <w:t xml:space="preserve"> </w:t>
      </w:r>
    </w:p>
    <w:p w14:paraId="63C51011" w14:textId="51FAD1CC" w:rsidR="00335793" w:rsidRDefault="00335793" w:rsidP="00335793">
      <w:r w:rsidRPr="001B5A7B">
        <w:t xml:space="preserve">The </w:t>
      </w:r>
      <w:r w:rsidR="00642696">
        <w:t>final conciliar pillar to be considered here emerged as</w:t>
      </w:r>
      <w:r w:rsidR="00677045">
        <w:t>,</w:t>
      </w:r>
      <w:r w:rsidR="00642696">
        <w:t xml:space="preserve"> yet again, a direct reaction to another characteristic of the Gregorian form of the church, namely its triumphalism.  </w:t>
      </w:r>
      <w:r w:rsidR="00032776">
        <w:t>W</w:t>
      </w:r>
      <w:r w:rsidR="00642696">
        <w:t>e see in the Catholicism of the nineteenth and twentieth centur</w:t>
      </w:r>
      <w:r w:rsidR="00032776">
        <w:t>ies</w:t>
      </w:r>
      <w:r w:rsidR="00642696">
        <w:t xml:space="preserve"> a troubling </w:t>
      </w:r>
      <w:r w:rsidR="00032776">
        <w:t xml:space="preserve">ecclesial arrogance. During that period, the Catholic </w:t>
      </w:r>
      <w:r w:rsidR="00BE11AE">
        <w:t>Church</w:t>
      </w:r>
      <w:r w:rsidR="00032776">
        <w:t xml:space="preserve"> so emphasized its status as the mystical body of Christ on earth</w:t>
      </w:r>
      <w:r w:rsidR="00BE11AE">
        <w:t>,</w:t>
      </w:r>
      <w:r w:rsidR="00032776">
        <w:t xml:space="preserve"> instituted by Christ himself and guided and protected from error by the Holy Spirit</w:t>
      </w:r>
      <w:r w:rsidR="00BE11AE">
        <w:t>,</w:t>
      </w:r>
      <w:r w:rsidR="00032776">
        <w:t xml:space="preserve"> that it struggled to acknowledge even the possibility of church reform.  Catholic teaching recognized, of course, that the church was comprised of both saints and sinners, and that each individual Christian was a pilgrim on a journey toward salvation.  The council, however, went beyond traditional Catholic preoccupation with the “four last things” (death, heaven, hell and final judgment) to explore the eschatological character of the church itself.  The council provocatively affirmed that </w:t>
      </w:r>
      <w:r w:rsidRPr="001B5A7B">
        <w:t>the church was not merely comprised of individual pilgrims on the journey toward their salvation, but was itself a “pilgrim people</w:t>
      </w:r>
      <w:r>
        <w:t>.</w:t>
      </w:r>
      <w:r w:rsidRPr="001B5A7B">
        <w:t xml:space="preserve">” </w:t>
      </w:r>
      <w:r>
        <w:t>T</w:t>
      </w:r>
      <w:r w:rsidRPr="001B5A7B">
        <w:t>herefore</w:t>
      </w:r>
      <w:r>
        <w:t>,</w:t>
      </w:r>
      <w:r w:rsidRPr="001B5A7B">
        <w:t xml:space="preserve"> as a church</w:t>
      </w:r>
      <w:r>
        <w:t>,</w:t>
      </w:r>
      <w:r w:rsidRPr="001B5A7B">
        <w:t xml:space="preserve"> it would not achieve its perfection until the “the</w:t>
      </w:r>
      <w:r>
        <w:t xml:space="preserve"> consummation of history” (</w:t>
      </w:r>
      <w:r w:rsidR="00032776" w:rsidRPr="00032776">
        <w:t>LG</w:t>
      </w:r>
      <w:r>
        <w:rPr>
          <w:i/>
        </w:rPr>
        <w:t xml:space="preserve"> </w:t>
      </w:r>
      <w:r>
        <w:t>48</w:t>
      </w:r>
      <w:r w:rsidRPr="001B5A7B">
        <w:t xml:space="preserve">).  </w:t>
      </w:r>
    </w:p>
    <w:p w14:paraId="7442C166" w14:textId="77777777" w:rsidR="002B2649" w:rsidRDefault="00335793" w:rsidP="00335793">
      <w:r w:rsidRPr="00661A6C">
        <w:t>The Decree on Ecumenism</w:t>
      </w:r>
      <w:r>
        <w:t xml:space="preserve"> (</w:t>
      </w:r>
      <w:proofErr w:type="spellStart"/>
      <w:r w:rsidR="001F62CD">
        <w:rPr>
          <w:i/>
        </w:rPr>
        <w:t>Unitatis</w:t>
      </w:r>
      <w:proofErr w:type="spellEnd"/>
      <w:r w:rsidR="001F62CD">
        <w:rPr>
          <w:i/>
        </w:rPr>
        <w:t xml:space="preserve"> </w:t>
      </w:r>
      <w:proofErr w:type="spellStart"/>
      <w:r w:rsidR="001F62CD">
        <w:rPr>
          <w:i/>
        </w:rPr>
        <w:t>redintegratio</w:t>
      </w:r>
      <w:proofErr w:type="spellEnd"/>
      <w:r w:rsidR="001F62CD" w:rsidRPr="001F62CD">
        <w:t>)</w:t>
      </w:r>
      <w:r w:rsidR="001F62CD">
        <w:rPr>
          <w:i/>
        </w:rPr>
        <w:t xml:space="preserve">, </w:t>
      </w:r>
      <w:r w:rsidRPr="001B5A7B">
        <w:t>taught that</w:t>
      </w:r>
    </w:p>
    <w:p w14:paraId="33A18BC3" w14:textId="36B44FBA" w:rsidR="002B2649" w:rsidRDefault="002B2649" w:rsidP="00F42D51">
      <w:pPr>
        <w:pStyle w:val="QU"/>
      </w:pPr>
      <w:r>
        <w:lastRenderedPageBreak/>
        <w:t>[</w:t>
      </w:r>
      <w:proofErr w:type="gramStart"/>
      <w:r>
        <w:t>e]very</w:t>
      </w:r>
      <w:proofErr w:type="gramEnd"/>
      <w:r>
        <w:t xml:space="preserve"> renewal of the church essentially consists in an increase of fidelity to her own calling.  Undoubtedly this explains the dynamism of the movement toward unity.  Christ summons the church, as she goes her pilgrim way, to that continual reformation of which she always has need, insofar as she is a human institution here on earth.  Consequently, if, in various times and circumstances, there have </w:t>
      </w:r>
      <w:r w:rsidR="008A2F96">
        <w:t xml:space="preserve">been </w:t>
      </w:r>
      <w:r>
        <w:t>deficiencies in moral conduct or in church discipline, or even in the way that church teaching has been formulated—to be carefully distinguished from the deposit of faith itself—these should be set right at the opportune moment and in the proper way (UR 6).</w:t>
      </w:r>
    </w:p>
    <w:p w14:paraId="1A065A95" w14:textId="447B1138" w:rsidR="00335793" w:rsidRDefault="00335793" w:rsidP="00F42D51">
      <w:pPr>
        <w:pStyle w:val="Postquote"/>
      </w:pPr>
      <w:r w:rsidRPr="001B5A7B">
        <w:t xml:space="preserve"> </w:t>
      </w:r>
      <w:r w:rsidRPr="00C10FCE">
        <w:rPr>
          <w:i/>
        </w:rPr>
        <w:t>Dei Verbum</w:t>
      </w:r>
      <w:r>
        <w:t xml:space="preserve"> </w:t>
      </w:r>
      <w:r w:rsidRPr="001B5A7B">
        <w:t xml:space="preserve">asserted that the church, as recipient of God’s revelation in Christ by the Spirit, was moving toward “the </w:t>
      </w:r>
      <w:r>
        <w:t>fullness of divine truth”</w:t>
      </w:r>
      <w:r w:rsidR="001F62CD">
        <w:t xml:space="preserve"> (DV 8)</w:t>
      </w:r>
      <w:r w:rsidR="002B2649">
        <w:t xml:space="preserve">, implicitly turning away from more static and propositional notions of truth that allowed some Catholics to speak of the church “possessing the truth.” </w:t>
      </w:r>
      <w:r w:rsidRPr="001B5A7B">
        <w:t xml:space="preserve"> </w:t>
      </w:r>
      <w:proofErr w:type="spellStart"/>
      <w:r w:rsidR="001F62CD">
        <w:rPr>
          <w:i/>
        </w:rPr>
        <w:t>Gaudium</w:t>
      </w:r>
      <w:proofErr w:type="spellEnd"/>
      <w:r w:rsidR="001F62CD">
        <w:rPr>
          <w:i/>
        </w:rPr>
        <w:t xml:space="preserve"> et </w:t>
      </w:r>
      <w:proofErr w:type="spellStart"/>
      <w:r w:rsidR="001F62CD">
        <w:rPr>
          <w:i/>
        </w:rPr>
        <w:t>s</w:t>
      </w:r>
      <w:r w:rsidRPr="00EE4A64">
        <w:rPr>
          <w:i/>
        </w:rPr>
        <w:t>pes</w:t>
      </w:r>
      <w:proofErr w:type="spellEnd"/>
      <w:r>
        <w:t xml:space="preserve"> confirmed </w:t>
      </w:r>
      <w:r w:rsidRPr="001B5A7B">
        <w:t>confiden</w:t>
      </w:r>
      <w:r>
        <w:t>ce</w:t>
      </w:r>
      <w:r w:rsidRPr="001B5A7B">
        <w:t xml:space="preserve"> in </w:t>
      </w:r>
      <w:r>
        <w:t>the council’</w:t>
      </w:r>
      <w:r w:rsidRPr="001B5A7B">
        <w:t>s belief that with Christ the church had much to offer a world wounded by sin</w:t>
      </w:r>
      <w:r w:rsidR="002B2649">
        <w:t>:  “the church is guardian of the deposit of God’s word and draws religious and moral principles from it…” Yet the council also insisted “…it does not always have a ready answer to every question.  Still, it is eager to associate the light of revelation with the experience of humanity in trying to clarify the course upon which it has recently entered” (GS 33).</w:t>
      </w:r>
      <w:r w:rsidRPr="001B5A7B">
        <w:t xml:space="preserve"> Finally, </w:t>
      </w:r>
      <w:r w:rsidR="00032776">
        <w:t xml:space="preserve">the council adopted an attitude of </w:t>
      </w:r>
      <w:r w:rsidRPr="001B5A7B">
        <w:t>confident humility reflected in the council’s genuine openness to the world, its celebration of the world’s legitimate autonomy and its recognition that God’s grace and traces of the reign of God could be identified outside the boundaries of the church.</w:t>
      </w:r>
    </w:p>
    <w:p w14:paraId="00CDCA05" w14:textId="387975B8" w:rsidR="00032776" w:rsidRPr="001B5A7B" w:rsidRDefault="00032776" w:rsidP="00335793">
      <w:r>
        <w:t xml:space="preserve">These six pillars </w:t>
      </w:r>
      <w:r w:rsidR="002B2649">
        <w:t xml:space="preserve">do not constitute a comprehensive presentation of the council’s many contributions to ecclesiology, but they do mark out </w:t>
      </w:r>
      <w:r>
        <w:t xml:space="preserve">an important </w:t>
      </w:r>
      <w:r w:rsidR="00C33DBF">
        <w:t xml:space="preserve">“building </w:t>
      </w:r>
      <w:r>
        <w:t>foundation,</w:t>
      </w:r>
      <w:r w:rsidR="00C33DBF">
        <w:t>”</w:t>
      </w:r>
      <w:r>
        <w:t xml:space="preserve"> an </w:t>
      </w:r>
      <w:r w:rsidR="00C33DBF">
        <w:t>“</w:t>
      </w:r>
      <w:r>
        <w:t>unfinished building site</w:t>
      </w:r>
      <w:r w:rsidR="00C33DBF">
        <w:t>”</w:t>
      </w:r>
      <w:r>
        <w:t xml:space="preserve"> that stands before us, awaiting its completion. Let us </w:t>
      </w:r>
      <w:r w:rsidR="00C33DBF">
        <w:t xml:space="preserve">conclude by briefly considering </w:t>
      </w:r>
      <w:r>
        <w:t>the task that lies before us:  completing the building project.</w:t>
      </w:r>
    </w:p>
    <w:p w14:paraId="71CBC4A8" w14:textId="77777777" w:rsidR="00646976" w:rsidRDefault="00762E3A" w:rsidP="00032776">
      <w:pPr>
        <w:pStyle w:val="Heading1"/>
        <w:numPr>
          <w:ilvl w:val="0"/>
          <w:numId w:val="2"/>
        </w:numPr>
      </w:pPr>
      <w:r>
        <w:t xml:space="preserve">Completing </w:t>
      </w:r>
      <w:r w:rsidR="0054460D">
        <w:t xml:space="preserve">the </w:t>
      </w:r>
      <w:r>
        <w:t xml:space="preserve">Building </w:t>
      </w:r>
      <w:r w:rsidR="0054460D">
        <w:t>Project</w:t>
      </w:r>
      <w:r w:rsidR="00E150EC">
        <w:t xml:space="preserve">  </w:t>
      </w:r>
    </w:p>
    <w:p w14:paraId="2A2AE50A" w14:textId="07E308E6" w:rsidR="00C33DBF" w:rsidRDefault="00C33DBF" w:rsidP="00646976">
      <w:r>
        <w:t>Any discussion of “completing the building project</w:t>
      </w:r>
      <w:r w:rsidR="008A2F96">
        <w:t>”</w:t>
      </w:r>
      <w:r>
        <w:t xml:space="preserve"> will have to grapple with the limits of </w:t>
      </w:r>
      <w:proofErr w:type="spellStart"/>
      <w:r>
        <w:t>Pottmeyer’s</w:t>
      </w:r>
      <w:proofErr w:type="spellEnd"/>
      <w:r>
        <w:t xml:space="preserve"> metaphor.  There is a basic sense in which the work of the church is never completed.  If the council sought to move beyond the Gregorian form, we must recognize that fifty or hundred years from now a new council may </w:t>
      </w:r>
      <w:r>
        <w:lastRenderedPageBreak/>
        <w:t>have to do the same with respect to Vatican II</w:t>
      </w:r>
      <w:r w:rsidR="008A2F96">
        <w:t>’s contribu</w:t>
      </w:r>
      <w:r>
        <w:t xml:space="preserve">tions.  Still, there is value in considering the work of the council as an “unfinished project” that demands much of us.  </w:t>
      </w:r>
    </w:p>
    <w:p w14:paraId="31444CA1" w14:textId="32335A39" w:rsidR="00646976" w:rsidRPr="00646976" w:rsidRDefault="00C33DBF" w:rsidP="00646976">
      <w:pPr>
        <w:rPr>
          <w:rFonts w:ascii="Calibri" w:hAnsi="Calibri"/>
          <w:iCs/>
        </w:rPr>
      </w:pPr>
      <w:r>
        <w:t xml:space="preserve">We must begin with the frank recognition of </w:t>
      </w:r>
      <w:r w:rsidR="00646976">
        <w:t xml:space="preserve">a </w:t>
      </w:r>
      <w:r w:rsidR="00371366">
        <w:t>formidable</w:t>
      </w:r>
      <w:r w:rsidR="00646976">
        <w:t xml:space="preserve"> obstacle, namely the imposing shadow still </w:t>
      </w:r>
      <w:r w:rsidR="00371366">
        <w:t xml:space="preserve">being </w:t>
      </w:r>
      <w:r w:rsidR="00646976">
        <w:t>cast by the Gregorian form of the church. In spite of the council’s</w:t>
      </w:r>
      <w:r w:rsidR="00371366">
        <w:t xml:space="preserve"> </w:t>
      </w:r>
      <w:r w:rsidR="008A2F96">
        <w:t xml:space="preserve">efforts in constructing </w:t>
      </w:r>
      <w:r w:rsidR="00371366">
        <w:t xml:space="preserve">a new </w:t>
      </w:r>
      <w:r>
        <w:t xml:space="preserve">form </w:t>
      </w:r>
      <w:r w:rsidR="00371366">
        <w:t xml:space="preserve">of the church, it was unable to </w:t>
      </w:r>
      <w:r w:rsidR="00BE11AE">
        <w:t xml:space="preserve">fully </w:t>
      </w:r>
      <w:r w:rsidR="00371366">
        <w:t>dispel the Gregorian form;</w:t>
      </w:r>
      <w:r w:rsidR="00646976">
        <w:t xml:space="preserve"> the ruins of the old basilica, to follow </w:t>
      </w:r>
      <w:proofErr w:type="spellStart"/>
      <w:r w:rsidR="00646976">
        <w:t>Pottmeyer’s</w:t>
      </w:r>
      <w:proofErr w:type="spellEnd"/>
      <w:r w:rsidR="00646976">
        <w:t xml:space="preserve"> metaphor, are still very much with us.  We see its enduring influence in a number of ecclesiastical policies and documents.  </w:t>
      </w:r>
      <w:r>
        <w:t>Particularly during the pontificates of Jo</w:t>
      </w:r>
      <w:r w:rsidR="008A2F96">
        <w:t>h</w:t>
      </w:r>
      <w:r>
        <w:t>n Paul II and Benedict XVI</w:t>
      </w:r>
      <w:r w:rsidR="008A2F96">
        <w:t>,</w:t>
      </w:r>
      <w:r>
        <w:t xml:space="preserve"> we encountered, </w:t>
      </w:r>
      <w:r w:rsidR="00646976">
        <w:t xml:space="preserve">church leaders employing a more confrontational rhetoric with regular denunciations of a “dictatorship of relativism” and the secularism of the modern world.  </w:t>
      </w:r>
      <w:r w:rsidR="00371366">
        <w:t xml:space="preserve">This tone is reminiscent of the siege mentality that dominated church leadership throughout the nineteenth and first half of the twentieth centuries.  </w:t>
      </w:r>
      <w:r w:rsidR="00646976">
        <w:t xml:space="preserve">Second, </w:t>
      </w:r>
      <w:r>
        <w:t xml:space="preserve">during those two pontificates there is </w:t>
      </w:r>
      <w:r w:rsidR="00646976">
        <w:t xml:space="preserve">evidence of a pre-conciliar triumphalism in Vatican pronouncements like </w:t>
      </w:r>
      <w:r w:rsidR="00646976" w:rsidRPr="00646976">
        <w:rPr>
          <w:i/>
        </w:rPr>
        <w:t xml:space="preserve">Dominus </w:t>
      </w:r>
      <w:proofErr w:type="spellStart"/>
      <w:r w:rsidR="00646976" w:rsidRPr="00646976">
        <w:rPr>
          <w:i/>
        </w:rPr>
        <w:t>Iesus</w:t>
      </w:r>
      <w:proofErr w:type="spellEnd"/>
      <w:r w:rsidR="00BE11AE">
        <w:rPr>
          <w:rStyle w:val="FootnoteReference"/>
          <w:i/>
        </w:rPr>
        <w:footnoteReference w:id="24"/>
      </w:r>
      <w:r w:rsidR="00646976" w:rsidRPr="00646976">
        <w:rPr>
          <w:i/>
        </w:rPr>
        <w:t xml:space="preserve"> </w:t>
      </w:r>
      <w:r w:rsidR="00646976">
        <w:t xml:space="preserve">and the 2007 Vatican statement, </w:t>
      </w:r>
      <w:r w:rsidR="00646976" w:rsidRPr="001F2866">
        <w:t>“</w:t>
      </w:r>
      <w:r w:rsidR="00646976">
        <w:t>Responses t</w:t>
      </w:r>
      <w:r w:rsidR="00646976" w:rsidRPr="001F2866">
        <w:t>o Some Questions Regarding Certain Aspects</w:t>
      </w:r>
      <w:r w:rsidR="00646976">
        <w:t xml:space="preserve"> of the Doctrine on t</w:t>
      </w:r>
      <w:r w:rsidR="00646976" w:rsidRPr="001F2866">
        <w:t>he Church</w:t>
      </w:r>
      <w:r w:rsidR="00646976">
        <w:t>,”</w:t>
      </w:r>
      <w:r w:rsidR="00BE11AE">
        <w:rPr>
          <w:rStyle w:val="FootnoteReference"/>
        </w:rPr>
        <w:footnoteReference w:id="25"/>
      </w:r>
      <w:r w:rsidR="00646976">
        <w:t xml:space="preserve"> </w:t>
      </w:r>
      <w:r>
        <w:t xml:space="preserve">statements that </w:t>
      </w:r>
      <w:r w:rsidR="00371366">
        <w:t xml:space="preserve">offered a shockingly negative assessment of the </w:t>
      </w:r>
      <w:r w:rsidR="00646976">
        <w:t xml:space="preserve">extent to which other Christian traditions participate in the Church of Christ.  Third, there </w:t>
      </w:r>
      <w:r>
        <w:t xml:space="preserve">were </w:t>
      </w:r>
      <w:r w:rsidR="00646976">
        <w:t>troubling signs of a neo-clericalism</w:t>
      </w:r>
      <w:r w:rsidR="00371366">
        <w:t xml:space="preserve"> reflected in a </w:t>
      </w:r>
      <w:r w:rsidR="00646976">
        <w:t xml:space="preserve">host of ecclesiastical documents, including the </w:t>
      </w:r>
      <w:r w:rsidR="00646976" w:rsidRPr="00646976">
        <w:rPr>
          <w:rFonts w:ascii="Calibri" w:hAnsi="Calibri"/>
          <w:iCs/>
        </w:rPr>
        <w:t xml:space="preserve">1997 </w:t>
      </w:r>
      <w:proofErr w:type="spellStart"/>
      <w:r w:rsidR="00646976" w:rsidRPr="00646976">
        <w:rPr>
          <w:rFonts w:ascii="Calibri" w:hAnsi="Calibri"/>
          <w:iCs/>
        </w:rPr>
        <w:t>Interdicasterial</w:t>
      </w:r>
      <w:proofErr w:type="spellEnd"/>
      <w:r w:rsidR="00646976" w:rsidRPr="00646976">
        <w:rPr>
          <w:rFonts w:ascii="Calibri" w:hAnsi="Calibri"/>
          <w:iCs/>
        </w:rPr>
        <w:t xml:space="preserve"> document</w:t>
      </w:r>
      <w:r w:rsidR="00646976" w:rsidRPr="00646976">
        <w:rPr>
          <w:rFonts w:ascii="Calibri" w:hAnsi="Calibri"/>
          <w:i/>
          <w:iCs/>
        </w:rPr>
        <w:t xml:space="preserve"> </w:t>
      </w:r>
      <w:r w:rsidR="00646976" w:rsidRPr="00646976">
        <w:rPr>
          <w:rFonts w:ascii="Calibri" w:hAnsi="Calibri"/>
          <w:iCs/>
        </w:rPr>
        <w:t xml:space="preserve">“Certain Questions Regarding Collaboration of the </w:t>
      </w:r>
      <w:r w:rsidR="00420DB4">
        <w:rPr>
          <w:rFonts w:ascii="Calibri" w:hAnsi="Calibri"/>
          <w:iCs/>
        </w:rPr>
        <w:t>non-Ordained</w:t>
      </w:r>
      <w:r w:rsidR="00646976" w:rsidRPr="00646976">
        <w:rPr>
          <w:rFonts w:ascii="Calibri" w:hAnsi="Calibri"/>
          <w:iCs/>
        </w:rPr>
        <w:t xml:space="preserve"> Faithful in Ministry of Priests,”</w:t>
      </w:r>
      <w:r w:rsidR="00BE11AE">
        <w:rPr>
          <w:rStyle w:val="FootnoteReference"/>
          <w:rFonts w:ascii="Calibri" w:hAnsi="Calibri"/>
          <w:iCs/>
        </w:rPr>
        <w:footnoteReference w:id="26"/>
      </w:r>
      <w:r w:rsidR="00646976" w:rsidRPr="00646976">
        <w:rPr>
          <w:rFonts w:ascii="Calibri" w:hAnsi="Calibri"/>
          <w:iCs/>
        </w:rPr>
        <w:t xml:space="preserve"> </w:t>
      </w:r>
      <w:proofErr w:type="spellStart"/>
      <w:r w:rsidR="00646976" w:rsidRPr="00646976">
        <w:rPr>
          <w:rFonts w:ascii="Calibri" w:hAnsi="Calibri"/>
          <w:i/>
          <w:iCs/>
        </w:rPr>
        <w:t>Redemptionis</w:t>
      </w:r>
      <w:proofErr w:type="spellEnd"/>
      <w:r w:rsidR="00646976" w:rsidRPr="00646976">
        <w:rPr>
          <w:rFonts w:ascii="Calibri" w:hAnsi="Calibri"/>
          <w:i/>
          <w:iCs/>
        </w:rPr>
        <w:t xml:space="preserve"> </w:t>
      </w:r>
      <w:proofErr w:type="spellStart"/>
      <w:r w:rsidR="00646976" w:rsidRPr="00646976">
        <w:rPr>
          <w:rFonts w:ascii="Calibri" w:hAnsi="Calibri"/>
          <w:i/>
          <w:iCs/>
        </w:rPr>
        <w:t>sacramentum</w:t>
      </w:r>
      <w:proofErr w:type="spellEnd"/>
      <w:r w:rsidR="00646976" w:rsidRPr="00646976">
        <w:rPr>
          <w:rFonts w:ascii="Calibri" w:hAnsi="Calibri"/>
          <w:i/>
          <w:iCs/>
        </w:rPr>
        <w:t>,</w:t>
      </w:r>
      <w:r w:rsidR="00420DB4">
        <w:rPr>
          <w:rStyle w:val="FootnoteReference"/>
          <w:rFonts w:ascii="Calibri" w:hAnsi="Calibri"/>
          <w:i/>
          <w:iCs/>
        </w:rPr>
        <w:footnoteReference w:id="27"/>
      </w:r>
      <w:r w:rsidR="00646976" w:rsidRPr="00646976">
        <w:rPr>
          <w:rFonts w:ascii="Calibri" w:hAnsi="Calibri"/>
          <w:i/>
          <w:iCs/>
        </w:rPr>
        <w:t xml:space="preserve"> </w:t>
      </w:r>
      <w:r w:rsidR="00646976" w:rsidRPr="00646976">
        <w:rPr>
          <w:rFonts w:ascii="Calibri" w:hAnsi="Calibri"/>
          <w:iCs/>
        </w:rPr>
        <w:t xml:space="preserve">the revised </w:t>
      </w:r>
      <w:r w:rsidR="00646976" w:rsidRPr="00646976">
        <w:rPr>
          <w:rFonts w:ascii="Calibri" w:hAnsi="Calibri"/>
          <w:iCs/>
        </w:rPr>
        <w:lastRenderedPageBreak/>
        <w:t>General Instruction of the Roman Missal</w:t>
      </w:r>
      <w:r w:rsidR="00420DB4">
        <w:rPr>
          <w:rStyle w:val="FootnoteReference"/>
          <w:rFonts w:ascii="Calibri" w:hAnsi="Calibri"/>
          <w:iCs/>
        </w:rPr>
        <w:footnoteReference w:id="28"/>
      </w:r>
      <w:r w:rsidR="00646976" w:rsidRPr="00646976">
        <w:rPr>
          <w:rFonts w:ascii="Calibri" w:hAnsi="Calibri"/>
          <w:iCs/>
        </w:rPr>
        <w:t xml:space="preserve"> and </w:t>
      </w:r>
      <w:r w:rsidR="00371366">
        <w:rPr>
          <w:rFonts w:ascii="Calibri" w:hAnsi="Calibri"/>
          <w:iCs/>
        </w:rPr>
        <w:t xml:space="preserve">even </w:t>
      </w:r>
      <w:r w:rsidR="00646976" w:rsidRPr="00646976">
        <w:rPr>
          <w:rFonts w:ascii="Calibri" w:hAnsi="Calibri"/>
          <w:iCs/>
        </w:rPr>
        <w:t>the new English translation of the Roman missal</w:t>
      </w:r>
      <w:r w:rsidR="00371366">
        <w:rPr>
          <w:rFonts w:ascii="Calibri" w:hAnsi="Calibri"/>
          <w:iCs/>
        </w:rPr>
        <w:t>. All of these documents</w:t>
      </w:r>
      <w:r w:rsidR="00646976" w:rsidRPr="00646976">
        <w:rPr>
          <w:rFonts w:ascii="Calibri" w:hAnsi="Calibri"/>
          <w:iCs/>
        </w:rPr>
        <w:t>, in various ways, reinforce</w:t>
      </w:r>
      <w:r w:rsidR="00371366">
        <w:rPr>
          <w:rFonts w:ascii="Calibri" w:hAnsi="Calibri"/>
          <w:iCs/>
        </w:rPr>
        <w:t>d</w:t>
      </w:r>
      <w:r w:rsidR="00646976" w:rsidRPr="00646976">
        <w:rPr>
          <w:rFonts w:ascii="Calibri" w:hAnsi="Calibri"/>
          <w:iCs/>
        </w:rPr>
        <w:t xml:space="preserve"> the </w:t>
      </w:r>
      <w:r w:rsidR="00371366">
        <w:rPr>
          <w:rFonts w:ascii="Calibri" w:hAnsi="Calibri"/>
          <w:iCs/>
        </w:rPr>
        <w:t xml:space="preserve">ontological divide </w:t>
      </w:r>
      <w:r w:rsidR="00646976" w:rsidRPr="00646976">
        <w:rPr>
          <w:rFonts w:ascii="Calibri" w:hAnsi="Calibri"/>
          <w:iCs/>
        </w:rPr>
        <w:t xml:space="preserve">between the clergy and the laity.  </w:t>
      </w:r>
      <w:r w:rsidR="00371366">
        <w:rPr>
          <w:rFonts w:ascii="Calibri" w:hAnsi="Calibri"/>
          <w:iCs/>
        </w:rPr>
        <w:t xml:space="preserve">We </w:t>
      </w:r>
      <w:r>
        <w:rPr>
          <w:rFonts w:ascii="Calibri" w:hAnsi="Calibri"/>
          <w:iCs/>
        </w:rPr>
        <w:t xml:space="preserve">saw </w:t>
      </w:r>
      <w:r w:rsidR="00371366">
        <w:rPr>
          <w:rFonts w:ascii="Calibri" w:hAnsi="Calibri"/>
          <w:iCs/>
        </w:rPr>
        <w:t xml:space="preserve">this neo-clericalism as well in </w:t>
      </w:r>
      <w:r w:rsidR="00371366">
        <w:t xml:space="preserve">the disturbing return of birettas, cassocks and a sense of ecclesiastical entitlement with many but certainly not all of our current seminarians and young priests. </w:t>
      </w:r>
      <w:r>
        <w:rPr>
          <w:rFonts w:ascii="Calibri" w:hAnsi="Calibri"/>
          <w:iCs/>
        </w:rPr>
        <w:t xml:space="preserve"> </w:t>
      </w:r>
      <w:r w:rsidR="00646976" w:rsidRPr="00646976">
        <w:rPr>
          <w:rFonts w:ascii="Calibri" w:hAnsi="Calibri"/>
          <w:iCs/>
        </w:rPr>
        <w:t xml:space="preserve">Finally, </w:t>
      </w:r>
      <w:r w:rsidR="00371366">
        <w:rPr>
          <w:rFonts w:ascii="Calibri" w:hAnsi="Calibri"/>
          <w:iCs/>
        </w:rPr>
        <w:t xml:space="preserve">we </w:t>
      </w:r>
      <w:r>
        <w:rPr>
          <w:rFonts w:ascii="Calibri" w:hAnsi="Calibri"/>
          <w:iCs/>
        </w:rPr>
        <w:t>have witnessed</w:t>
      </w:r>
      <w:r w:rsidR="00371366">
        <w:rPr>
          <w:rFonts w:ascii="Calibri" w:hAnsi="Calibri"/>
          <w:iCs/>
        </w:rPr>
        <w:t xml:space="preserve"> </w:t>
      </w:r>
      <w:r w:rsidR="00646976" w:rsidRPr="00646976">
        <w:rPr>
          <w:rFonts w:ascii="Calibri" w:hAnsi="Calibri"/>
          <w:iCs/>
        </w:rPr>
        <w:t xml:space="preserve">remnants of papal </w:t>
      </w:r>
      <w:proofErr w:type="spellStart"/>
      <w:r w:rsidR="00646976" w:rsidRPr="00646976">
        <w:rPr>
          <w:rFonts w:ascii="Calibri" w:hAnsi="Calibri"/>
          <w:iCs/>
        </w:rPr>
        <w:t>monarchialism</w:t>
      </w:r>
      <w:proofErr w:type="spellEnd"/>
      <w:r w:rsidR="00646976" w:rsidRPr="00646976">
        <w:rPr>
          <w:rFonts w:ascii="Calibri" w:hAnsi="Calibri"/>
          <w:iCs/>
        </w:rPr>
        <w:t xml:space="preserve">.  This is evident in the emasculation of episcopal conferences in </w:t>
      </w:r>
      <w:r w:rsidR="00371366">
        <w:rPr>
          <w:rFonts w:ascii="Calibri" w:hAnsi="Calibri"/>
          <w:iCs/>
        </w:rPr>
        <w:t xml:space="preserve">Pope John Paul II’s apostolic letter </w:t>
      </w:r>
      <w:proofErr w:type="spellStart"/>
      <w:r w:rsidR="00371366">
        <w:rPr>
          <w:rFonts w:ascii="Calibri" w:hAnsi="Calibri"/>
          <w:i/>
          <w:iCs/>
        </w:rPr>
        <w:t>Apostolos</w:t>
      </w:r>
      <w:proofErr w:type="spellEnd"/>
      <w:r w:rsidR="00371366">
        <w:rPr>
          <w:rFonts w:ascii="Calibri" w:hAnsi="Calibri"/>
          <w:i/>
          <w:iCs/>
        </w:rPr>
        <w:t xml:space="preserve"> </w:t>
      </w:r>
      <w:proofErr w:type="spellStart"/>
      <w:r w:rsidR="00371366">
        <w:rPr>
          <w:rFonts w:ascii="Calibri" w:hAnsi="Calibri"/>
          <w:i/>
          <w:iCs/>
        </w:rPr>
        <w:t>suos</w:t>
      </w:r>
      <w:proofErr w:type="spellEnd"/>
      <w:r w:rsidR="008A2F96">
        <w:rPr>
          <w:rFonts w:ascii="Calibri" w:hAnsi="Calibri"/>
          <w:iCs/>
        </w:rPr>
        <w:t>,</w:t>
      </w:r>
      <w:r w:rsidR="00420DB4">
        <w:rPr>
          <w:rStyle w:val="FootnoteReference"/>
          <w:rFonts w:ascii="Calibri" w:hAnsi="Calibri"/>
          <w:iCs/>
        </w:rPr>
        <w:footnoteReference w:id="29"/>
      </w:r>
      <w:r w:rsidR="00371366">
        <w:rPr>
          <w:rFonts w:ascii="Calibri" w:hAnsi="Calibri"/>
          <w:iCs/>
        </w:rPr>
        <w:t xml:space="preserve"> in </w:t>
      </w:r>
      <w:r w:rsidR="00646976" w:rsidRPr="00646976">
        <w:rPr>
          <w:rFonts w:ascii="Calibri" w:hAnsi="Calibri"/>
          <w:iCs/>
        </w:rPr>
        <w:t xml:space="preserve"> </w:t>
      </w:r>
      <w:r w:rsidR="00371366">
        <w:rPr>
          <w:rFonts w:ascii="Calibri" w:hAnsi="Calibri"/>
          <w:iCs/>
        </w:rPr>
        <w:t xml:space="preserve">the ecclesiastical marginalization of the </w:t>
      </w:r>
      <w:r w:rsidR="00646976" w:rsidRPr="00646976">
        <w:rPr>
          <w:rFonts w:ascii="Calibri" w:hAnsi="Calibri"/>
          <w:iCs/>
        </w:rPr>
        <w:t xml:space="preserve">synod of bishops </w:t>
      </w:r>
      <w:r w:rsidR="00371366">
        <w:rPr>
          <w:rFonts w:ascii="Calibri" w:hAnsi="Calibri"/>
          <w:iCs/>
        </w:rPr>
        <w:t xml:space="preserve">which </w:t>
      </w:r>
      <w:r>
        <w:rPr>
          <w:rFonts w:ascii="Calibri" w:hAnsi="Calibri"/>
          <w:iCs/>
        </w:rPr>
        <w:t xml:space="preserve">has been maintained </w:t>
      </w:r>
      <w:r w:rsidR="00371366">
        <w:rPr>
          <w:rFonts w:ascii="Calibri" w:hAnsi="Calibri"/>
          <w:iCs/>
        </w:rPr>
        <w:t xml:space="preserve">in an ecclesiastical form far </w:t>
      </w:r>
      <w:r w:rsidR="00646976" w:rsidRPr="00646976">
        <w:rPr>
          <w:rFonts w:ascii="Calibri" w:hAnsi="Calibri"/>
          <w:iCs/>
        </w:rPr>
        <w:t>less substantial than what the bishops had hoped for at the council</w:t>
      </w:r>
      <w:r>
        <w:rPr>
          <w:rFonts w:ascii="Calibri" w:hAnsi="Calibri"/>
          <w:iCs/>
        </w:rPr>
        <w:t xml:space="preserve"> and, finally, in </w:t>
      </w:r>
      <w:r w:rsidR="00371366">
        <w:rPr>
          <w:rFonts w:ascii="Calibri" w:hAnsi="Calibri"/>
          <w:iCs/>
        </w:rPr>
        <w:t xml:space="preserve">the </w:t>
      </w:r>
      <w:r w:rsidR="00646976" w:rsidRPr="00646976">
        <w:rPr>
          <w:rFonts w:ascii="Calibri" w:hAnsi="Calibri"/>
          <w:iCs/>
        </w:rPr>
        <w:t xml:space="preserve">current process of the </w:t>
      </w:r>
      <w:r w:rsidR="008A2F96">
        <w:rPr>
          <w:rFonts w:ascii="Calibri" w:hAnsi="Calibri"/>
          <w:iCs/>
        </w:rPr>
        <w:t xml:space="preserve">papal appointment of </w:t>
      </w:r>
      <w:r w:rsidR="00646976" w:rsidRPr="00646976">
        <w:rPr>
          <w:rFonts w:ascii="Calibri" w:hAnsi="Calibri"/>
          <w:iCs/>
        </w:rPr>
        <w:t xml:space="preserve"> bishops</w:t>
      </w:r>
      <w:r w:rsidR="00371366">
        <w:rPr>
          <w:rFonts w:ascii="Calibri" w:hAnsi="Calibri"/>
          <w:iCs/>
        </w:rPr>
        <w:t xml:space="preserve">.  This practice of papal appointment is a </w:t>
      </w:r>
      <w:r w:rsidR="00646976" w:rsidRPr="00646976">
        <w:rPr>
          <w:rFonts w:ascii="Calibri" w:hAnsi="Calibri"/>
          <w:iCs/>
        </w:rPr>
        <w:t xml:space="preserve">relative novelty in the history of the church </w:t>
      </w:r>
      <w:r w:rsidR="00371366">
        <w:rPr>
          <w:rFonts w:ascii="Calibri" w:hAnsi="Calibri"/>
          <w:iCs/>
        </w:rPr>
        <w:t xml:space="preserve">and </w:t>
      </w:r>
      <w:r w:rsidR="00646976" w:rsidRPr="00646976">
        <w:rPr>
          <w:rFonts w:ascii="Calibri" w:hAnsi="Calibri"/>
          <w:iCs/>
        </w:rPr>
        <w:t xml:space="preserve">encourages a view of bishops as delegates of the pope </w:t>
      </w:r>
      <w:r w:rsidR="00A64C21">
        <w:rPr>
          <w:rFonts w:ascii="Calibri" w:hAnsi="Calibri"/>
          <w:iCs/>
        </w:rPr>
        <w:t>that</w:t>
      </w:r>
      <w:r w:rsidR="00A64C21" w:rsidRPr="00646976">
        <w:rPr>
          <w:rFonts w:ascii="Calibri" w:hAnsi="Calibri"/>
          <w:iCs/>
        </w:rPr>
        <w:t xml:space="preserve"> </w:t>
      </w:r>
      <w:r w:rsidR="00646976" w:rsidRPr="00646976">
        <w:rPr>
          <w:rFonts w:ascii="Calibri" w:hAnsi="Calibri"/>
          <w:iCs/>
        </w:rPr>
        <w:t>is, in fact, at odds with Catholic doctrine.</w:t>
      </w:r>
      <w:r w:rsidR="00420DB4">
        <w:rPr>
          <w:rStyle w:val="FootnoteReference"/>
          <w:rFonts w:ascii="Calibri" w:hAnsi="Calibri"/>
          <w:iCs/>
        </w:rPr>
        <w:footnoteReference w:id="30"/>
      </w:r>
      <w:r w:rsidR="00646976" w:rsidRPr="00646976">
        <w:rPr>
          <w:rFonts w:ascii="Calibri" w:hAnsi="Calibri"/>
          <w:iCs/>
        </w:rPr>
        <w:t xml:space="preserve"> </w:t>
      </w:r>
      <w:r w:rsidR="00A64C21">
        <w:rPr>
          <w:rFonts w:ascii="Calibri" w:hAnsi="Calibri"/>
          <w:iCs/>
        </w:rPr>
        <w:t xml:space="preserve"> Of course, </w:t>
      </w:r>
      <w:r w:rsidR="00A64C21">
        <w:t xml:space="preserve">with the new pontificate of Pope Francis, and his </w:t>
      </w:r>
      <w:r w:rsidR="008A2F96">
        <w:t>consistent</w:t>
      </w:r>
      <w:r w:rsidR="00A64C21">
        <w:t xml:space="preserve"> critique of modern forms of </w:t>
      </w:r>
      <w:r w:rsidR="008A2F96">
        <w:t>neo-</w:t>
      </w:r>
      <w:r w:rsidR="00A64C21">
        <w:t xml:space="preserve">clericalism and “spiritual worldliness” among the clergy, along with his determination to push forward substantive curial reform, there is a real hope that the last remnants of the Gregorian form may finally be dismantled.  </w:t>
      </w:r>
    </w:p>
    <w:p w14:paraId="243C9B93" w14:textId="0FABA98A" w:rsidR="00646976" w:rsidRPr="00646976" w:rsidRDefault="00A64C21" w:rsidP="00646976">
      <w:r>
        <w:t xml:space="preserve">Given the challenges that the enduring </w:t>
      </w:r>
      <w:r w:rsidR="00371366">
        <w:t>influence of the Gregorian form</w:t>
      </w:r>
      <w:r w:rsidR="00420DB4">
        <w:t xml:space="preserve"> </w:t>
      </w:r>
      <w:r>
        <w:t xml:space="preserve">represent, we must still push forward and consider the challenges that remain in completing the unfinished building project of the council.  </w:t>
      </w:r>
      <w:r w:rsidR="00F42D51">
        <w:t xml:space="preserve">This work will necessarily involve drawing together into an integrated pastoral program disconnected insights and contributions found in the council documents.  </w:t>
      </w:r>
      <w:r>
        <w:t xml:space="preserve">Let me recommend two potentially fruitful paths toward </w:t>
      </w:r>
      <w:r>
        <w:lastRenderedPageBreak/>
        <w:t xml:space="preserve">furthering this project: </w:t>
      </w:r>
      <w:r w:rsidR="00E555DB">
        <w:t xml:space="preserve">1) </w:t>
      </w:r>
      <w:r w:rsidR="0010694C">
        <w:t>becoming a community of Christian discipleship</w:t>
      </w:r>
      <w:r w:rsidR="00E555DB">
        <w:t xml:space="preserve">, and 2) </w:t>
      </w:r>
      <w:r w:rsidR="0010694C">
        <w:t xml:space="preserve">becoming </w:t>
      </w:r>
      <w:r w:rsidR="00E555DB">
        <w:t xml:space="preserve">a community of discernment.  </w:t>
      </w:r>
    </w:p>
    <w:p w14:paraId="44291D22" w14:textId="77777777" w:rsidR="00A914DD" w:rsidRDefault="00AC2EA9" w:rsidP="00A914DD">
      <w:pPr>
        <w:pStyle w:val="Heading2"/>
      </w:pPr>
      <w:r>
        <w:t xml:space="preserve">The Call to </w:t>
      </w:r>
      <w:r w:rsidR="00A914DD">
        <w:t>Discipleship</w:t>
      </w:r>
    </w:p>
    <w:p w14:paraId="784F8D2C" w14:textId="21C56AE1" w:rsidR="00035F9D" w:rsidRDefault="00F42D51" w:rsidP="00FD250E">
      <w:r>
        <w:t xml:space="preserve">Over the two </w:t>
      </w:r>
      <w:proofErr w:type="spellStart"/>
      <w:r>
        <w:t>pontificatdes</w:t>
      </w:r>
      <w:proofErr w:type="spellEnd"/>
      <w:r>
        <w:t xml:space="preserve"> of John Paul II and Benedict XVI, and continuing in the pontificate of Pope Francis we have heard much of a </w:t>
      </w:r>
      <w:proofErr w:type="spellStart"/>
      <w:r>
        <w:t>pastoratl</w:t>
      </w:r>
      <w:proofErr w:type="spellEnd"/>
      <w:r>
        <w:t xml:space="preserve"> project referred to as </w:t>
      </w:r>
      <w:r w:rsidR="0010694C">
        <w:t>“the new evangelization.”</w:t>
      </w:r>
      <w:r w:rsidR="0010694C">
        <w:rPr>
          <w:rStyle w:val="FootnoteReference"/>
        </w:rPr>
        <w:footnoteReference w:id="31"/>
      </w:r>
      <w:r w:rsidR="0010694C">
        <w:t xml:space="preserve">  This is a pastoral project with enormous potential for integrating a number of the council’s teachings and putting them in the service of the church’s mission in the world. For the work of new evangelization to be effective, however, it must resist the temptation to settle for simply a new form of Catholic apologetics; it must recognize that any authentic and effective form of “new evangelization” must be concerned with the recovery of </w:t>
      </w:r>
      <w:r w:rsidR="00AC2EA9">
        <w:t>the biblical notion of discipleship.</w:t>
      </w:r>
      <w:r w:rsidR="00AC2EA9" w:rsidRPr="00AC2EA9">
        <w:t xml:space="preserve"> </w:t>
      </w:r>
      <w:r w:rsidR="00AC2EA9">
        <w:t xml:space="preserve"> Acts of the Apostles reports that it was in Antioch that the first followers of Jesus </w:t>
      </w:r>
      <w:r w:rsidR="000041E5">
        <w:t>were</w:t>
      </w:r>
      <w:r w:rsidR="00AC2EA9">
        <w:t xml:space="preserve"> called “Christians.” The first self-appellations used by early Christians included such terms as “disciples” (Acts 6: 1; 9: 1) or simply “the saints” (Rom. 1: 7; 1 Cor. 1: 2).</w:t>
      </w:r>
      <w:r w:rsidR="00AC2EA9">
        <w:rPr>
          <w:rStyle w:val="FootnoteReference"/>
        </w:rPr>
        <w:footnoteReference w:id="32"/>
      </w:r>
      <w:r w:rsidR="00AC2EA9">
        <w:t xml:space="preserve">  Such terms did not refer to a specific subset within the Christian community but to all believers.  Some form of the word “disciple” appears in the New Testament over 200 times.  </w:t>
      </w:r>
      <w:r w:rsidR="0010694C">
        <w:t xml:space="preserve">A comprehensive theological and pastoral plan that focuses on Christian discipleship would help us </w:t>
      </w:r>
      <w:r w:rsidR="00AC2EA9">
        <w:t xml:space="preserve">bring together </w:t>
      </w:r>
      <w:r w:rsidR="00035F9D">
        <w:t>three</w:t>
      </w:r>
      <w:r w:rsidR="00AC2EA9">
        <w:t xml:space="preserve"> important c</w:t>
      </w:r>
      <w:r w:rsidR="00035F9D">
        <w:t>onciliar teachings: 1)</w:t>
      </w:r>
      <w:r w:rsidR="0002532E">
        <w:t xml:space="preserve"> the</w:t>
      </w:r>
      <w:r w:rsidR="004707B1">
        <w:t xml:space="preserve"> </w:t>
      </w:r>
      <w:r w:rsidR="00035F9D">
        <w:t xml:space="preserve">priority of Christian baptism, 2) </w:t>
      </w:r>
      <w:r w:rsidR="004707B1">
        <w:t>the universal call to holiness</w:t>
      </w:r>
      <w:r w:rsidR="00035F9D">
        <w:t>, and 3) the need for the laity to take th</w:t>
      </w:r>
      <w:r w:rsidR="0010694C">
        <w:t xml:space="preserve">e initiative in applying </w:t>
      </w:r>
      <w:r w:rsidR="00035F9D">
        <w:t>the gospel to their daily lives</w:t>
      </w:r>
      <w:r w:rsidR="004707B1">
        <w:t xml:space="preserve">.  </w:t>
      </w:r>
    </w:p>
    <w:p w14:paraId="1EE7B970" w14:textId="3C20FA18" w:rsidR="00FD250E" w:rsidRDefault="004707B1" w:rsidP="00FD250E">
      <w:pPr>
        <w:rPr>
          <w:i/>
          <w:iCs/>
        </w:rPr>
      </w:pPr>
      <w:r>
        <w:t xml:space="preserve">As we saw above, the council’s teaching on baptism </w:t>
      </w:r>
      <w:r w:rsidR="002F13FB">
        <w:t xml:space="preserve">challenged the </w:t>
      </w:r>
      <w:r>
        <w:t xml:space="preserve">tendency in Catholic ecclesiology to </w:t>
      </w:r>
      <w:r w:rsidR="002F13FB">
        <w:t>grant</w:t>
      </w:r>
      <w:r>
        <w:t xml:space="preserve"> holy orders </w:t>
      </w:r>
      <w:r w:rsidR="0002532E">
        <w:t xml:space="preserve">a sacramental priority </w:t>
      </w:r>
      <w:r w:rsidR="002F13FB">
        <w:t>as regards</w:t>
      </w:r>
      <w:r w:rsidR="0002532E">
        <w:t xml:space="preserve"> </w:t>
      </w:r>
      <w:r>
        <w:t xml:space="preserve">the nature of the church.  </w:t>
      </w:r>
      <w:r w:rsidR="0002532E">
        <w:t xml:space="preserve">Indeed, the council explicitly invoked the example of St. Augustine </w:t>
      </w:r>
      <w:r w:rsidR="002F13FB">
        <w:t xml:space="preserve">who gave </w:t>
      </w:r>
      <w:r w:rsidR="0002532E">
        <w:t>priority to his baptismal identity</w:t>
      </w:r>
      <w:r w:rsidR="00F42D51">
        <w:t xml:space="preserve"> </w:t>
      </w:r>
      <w:r w:rsidR="000041E5">
        <w:t xml:space="preserve">quoting </w:t>
      </w:r>
      <w:r w:rsidR="002F13FB">
        <w:t>one of his sermons</w:t>
      </w:r>
      <w:r w:rsidR="0002532E">
        <w:t xml:space="preserve">:  “When I am frightened by what I am for you, then I am consoled by what I am with you. For you I am a bishop, </w:t>
      </w:r>
      <w:r w:rsidR="0002532E">
        <w:lastRenderedPageBreak/>
        <w:t xml:space="preserve">with you I am a Christian. The first is an office, the second a grace; the first is a danger, the second salvation” (LG 32).  </w:t>
      </w:r>
      <w:r w:rsidR="0010694C">
        <w:t>The council also recovered the biblical notion of a priesthood of the faithful, a baptismal priesthood. In doing so, of course, t</w:t>
      </w:r>
      <w:r w:rsidR="00FD250E">
        <w:rPr>
          <w:rFonts w:eastAsia="Times New Roman"/>
        </w:rPr>
        <w:t xml:space="preserve">he council did not deny the place of the ministerial priesthood in the life of the church, but it did wish to reorient </w:t>
      </w:r>
      <w:r w:rsidR="000041E5">
        <w:rPr>
          <w:rFonts w:eastAsia="Times New Roman"/>
        </w:rPr>
        <w:t xml:space="preserve">the ministerial priesthood </w:t>
      </w:r>
      <w:r w:rsidR="00FD250E">
        <w:rPr>
          <w:rFonts w:eastAsia="Times New Roman"/>
        </w:rPr>
        <w:t xml:space="preserve">as a ministry in service of all the baptized.  This has become even clearer in post-conciliar teaching, as is evident in </w:t>
      </w:r>
      <w:r w:rsidR="00FD250E">
        <w:t xml:space="preserve">the </w:t>
      </w:r>
      <w:r w:rsidR="00FD250E">
        <w:rPr>
          <w:i/>
          <w:iCs/>
        </w:rPr>
        <w:t>Catechism of the Catholic Church</w:t>
      </w:r>
      <w:r w:rsidR="00FD250E">
        <w:t>:</w:t>
      </w:r>
    </w:p>
    <w:p w14:paraId="3AC1B942" w14:textId="77777777" w:rsidR="00FD250E" w:rsidRDefault="00FD250E" w:rsidP="00FD250E">
      <w:pPr>
        <w:pStyle w:val="QU"/>
      </w:pPr>
      <w:r>
        <w:t>While the common priesthood of the faithful is exercised by the unfolding of baptismal grace—a life of faith, hope, and charity, a life according to the Spirit—the ministerial priesthood is at the service of the common priesthood.  It is directed at the unfolding of the baptismal grace of all Christians (CCC 1547).</w:t>
      </w:r>
    </w:p>
    <w:p w14:paraId="4698319F" w14:textId="77777777" w:rsidR="000041E5" w:rsidRDefault="00FD250E" w:rsidP="00FD250E">
      <w:pPr>
        <w:pStyle w:val="Postquote"/>
      </w:pPr>
      <w:r>
        <w:t xml:space="preserve"> </w:t>
      </w:r>
      <w:r w:rsidR="0010694C">
        <w:t xml:space="preserve">A recovery of this theology of the ministerial priesthood as completely oriented toward the </w:t>
      </w:r>
      <w:r>
        <w:t xml:space="preserve">“unfolding of the baptismal grace of all Christians” </w:t>
      </w:r>
      <w:r w:rsidR="0010694C">
        <w:t>would go a</w:t>
      </w:r>
      <w:r w:rsidR="00623B5A">
        <w:t xml:space="preserve"> </w:t>
      </w:r>
      <w:r w:rsidR="0010694C">
        <w:t xml:space="preserve">long way toward dismantling the new clericalism that is still with us.  </w:t>
      </w:r>
      <w:r w:rsidR="00623B5A">
        <w:t xml:space="preserve">The </w:t>
      </w:r>
      <w:r w:rsidR="002F13FB">
        <w:t xml:space="preserve">ministry of the ordained priest is directed toward making </w:t>
      </w:r>
      <w:r w:rsidR="00623B5A">
        <w:t xml:space="preserve">each of us better disciples of Jesus.  </w:t>
      </w:r>
    </w:p>
    <w:p w14:paraId="7DBF550A" w14:textId="582750B2" w:rsidR="006F6259" w:rsidRDefault="00623B5A" w:rsidP="000041E5">
      <w:r>
        <w:t>This teaching on the priority of our baptismal identity as disciples of Jesus can draw further conciliar support from the council’s teaching on the universal call to holiness.</w:t>
      </w:r>
      <w:r w:rsidR="000041E5">
        <w:t xml:space="preserve"> </w:t>
      </w:r>
      <w:r w:rsidR="0002532E">
        <w:t xml:space="preserve"> </w:t>
      </w:r>
      <w:r w:rsidR="006F6259">
        <w:t xml:space="preserve">In </w:t>
      </w:r>
      <w:r w:rsidR="008C4ACF">
        <w:t>the preparatory draft on the church</w:t>
      </w:r>
      <w:r w:rsidR="002F13FB">
        <w:t>,</w:t>
      </w:r>
      <w:r w:rsidR="008C4ACF">
        <w:t xml:space="preserve"> sent to the bishops during the first session, there was a chapter entitled, </w:t>
      </w:r>
      <w:r w:rsidR="006F6259">
        <w:rPr>
          <w:rFonts w:ascii="Calibri" w:eastAsia="Times New Roman" w:hAnsi="Calibri" w:cs="Times New Roman"/>
        </w:rPr>
        <w:t>“</w:t>
      </w:r>
      <w:r w:rsidR="006F6259">
        <w:t xml:space="preserve">The </w:t>
      </w:r>
      <w:r w:rsidR="006F6259">
        <w:rPr>
          <w:rFonts w:ascii="Calibri" w:eastAsia="Times New Roman" w:hAnsi="Calibri" w:cs="Times New Roman"/>
        </w:rPr>
        <w:t>States of Evangelical Perfection</w:t>
      </w:r>
      <w:r w:rsidR="006F6259">
        <w:t>,</w:t>
      </w:r>
      <w:r w:rsidR="006F6259">
        <w:rPr>
          <w:rFonts w:ascii="Calibri" w:eastAsia="Times New Roman" w:hAnsi="Calibri" w:cs="Times New Roman"/>
        </w:rPr>
        <w:t>”</w:t>
      </w:r>
      <w:r w:rsidR="006F6259">
        <w:t xml:space="preserve"> which asserted that perfection in holiness was achieved preeminently by those who pursued </w:t>
      </w:r>
      <w:r w:rsidR="002F13FB">
        <w:t>in consecrated life</w:t>
      </w:r>
      <w:r w:rsidR="006F6259">
        <w:t xml:space="preserve">.  There was virtually no consideration of the other 99+% of the church who were not called to </w:t>
      </w:r>
      <w:r w:rsidR="002F13FB">
        <w:t>consecrated</w:t>
      </w:r>
      <w:r w:rsidR="006F6259">
        <w:t xml:space="preserve"> life.  Indeed, implicit in the chapter </w:t>
      </w:r>
      <w:r w:rsidR="00FD250E">
        <w:t>was</w:t>
      </w:r>
      <w:r w:rsidR="006F6259">
        <w:t xml:space="preserve"> the assumption that those who do not pursue </w:t>
      </w:r>
      <w:r w:rsidR="002F13FB">
        <w:t>the evangelical</w:t>
      </w:r>
      <w:r w:rsidR="006F6259">
        <w:t xml:space="preserve"> counsels have accepted the more pedestrian path to holiness provided by the Ten Commandments and precepts of the church.  In the revised schema this chapter was </w:t>
      </w:r>
      <w:r w:rsidR="002F13FB">
        <w:t xml:space="preserve">thoroughly </w:t>
      </w:r>
      <w:r w:rsidR="006F6259">
        <w:t xml:space="preserve">re-worked under the new title, “The Universal Call to Holiness.”  </w:t>
      </w:r>
      <w:r w:rsidR="002F13FB">
        <w:t xml:space="preserve">This revised chapter focused on the </w:t>
      </w:r>
      <w:r w:rsidR="006F6259">
        <w:t xml:space="preserve">call to holiness </w:t>
      </w:r>
      <w:r w:rsidR="002F13FB">
        <w:t xml:space="preserve">addressed to all believers.  The </w:t>
      </w:r>
      <w:r w:rsidR="006F6259">
        <w:t xml:space="preserve">conception of a gradation of “states of perfection” was quietly abandoned.  In this new chapter the council taught </w:t>
      </w:r>
    </w:p>
    <w:p w14:paraId="302E5752" w14:textId="77777777" w:rsidR="006F6259" w:rsidRDefault="006F6259" w:rsidP="006F6259">
      <w:pPr>
        <w:pStyle w:val="QU"/>
      </w:pPr>
      <w:r>
        <w:t xml:space="preserve">that all Christians in whatever state or walk of life are called to the fullness of </w:t>
      </w:r>
      <w:r w:rsidR="00FD250E">
        <w:t>Christian</w:t>
      </w:r>
      <w:r>
        <w:t xml:space="preserve"> life and to the perfection of charity, and this holiness is conducive to a more human way of living even in society here on earth (LG 40).</w:t>
      </w:r>
    </w:p>
    <w:p w14:paraId="7CD8B3D6" w14:textId="77777777" w:rsidR="00FD250E" w:rsidRDefault="00FD250E" w:rsidP="00E150EC">
      <w:pPr>
        <w:pStyle w:val="Postquote"/>
      </w:pPr>
      <w:r>
        <w:lastRenderedPageBreak/>
        <w:t xml:space="preserve">Just as the council’s teaching on the priority of baptism reversed the tendency to place the laity in a secondary position relative to the ordained, the council’s teaching on the universal call to holiness reversed the tendency to place the laity in a secondary position relative to </w:t>
      </w:r>
      <w:r w:rsidR="002F13FB">
        <w:t xml:space="preserve">those in </w:t>
      </w:r>
      <w:r>
        <w:t xml:space="preserve">consecrated life.  </w:t>
      </w:r>
      <w:r w:rsidR="002F13FB">
        <w:t xml:space="preserve">Taken together, these two teachings provide important support for </w:t>
      </w:r>
      <w:r w:rsidR="009F4E49">
        <w:t>a return to a biblical emphasis on Christian discipleship</w:t>
      </w:r>
      <w:r w:rsidR="002F13FB">
        <w:t>;</w:t>
      </w:r>
      <w:r w:rsidR="009F4E49">
        <w:t xml:space="preserve"> all Christians share in the church’s mission in the world. </w:t>
      </w:r>
    </w:p>
    <w:p w14:paraId="20780AC9" w14:textId="77777777" w:rsidR="008C4ACF" w:rsidRDefault="002F13FB" w:rsidP="006F6259">
      <w:r>
        <w:t xml:space="preserve">One </w:t>
      </w:r>
      <w:r w:rsidR="009F4E49">
        <w:t xml:space="preserve">consequence of a more integrated theology of Christian discipleship would be a reconsideration of our understanding of Christian vocation.  In spite of the council’s many contributions, it remained trapped in a </w:t>
      </w:r>
      <w:r w:rsidR="00E150EC">
        <w:t xml:space="preserve">more traditional conception of Christian vocation, one that </w:t>
      </w:r>
      <w:r w:rsidR="006F6259">
        <w:t xml:space="preserve">identified three distinct vocations </w:t>
      </w:r>
      <w:r w:rsidR="009F4E49">
        <w:t>within</w:t>
      </w:r>
      <w:r w:rsidR="006F6259">
        <w:t xml:space="preserve"> the church: 1) ordained ministry, 2) professed religious life and 3) marriage.  </w:t>
      </w:r>
      <w:r>
        <w:t>Yet a</w:t>
      </w:r>
      <w:r w:rsidR="00E150EC">
        <w:t xml:space="preserve"> </w:t>
      </w:r>
      <w:r>
        <w:t xml:space="preserve">theological and pastoral program oriented toward </w:t>
      </w:r>
      <w:r w:rsidR="00E150EC">
        <w:t xml:space="preserve">Christian discipleship must challenge the adequacy of this </w:t>
      </w:r>
      <w:r w:rsidR="009F4E49">
        <w:t xml:space="preserve">vocational schema.  </w:t>
      </w:r>
      <w:r>
        <w:t xml:space="preserve">If we move in the direction provided for us by the council, </w:t>
      </w:r>
      <w:r w:rsidR="009F4E49">
        <w:t>we must assert that a</w:t>
      </w:r>
      <w:r w:rsidR="00B15840">
        <w:t xml:space="preserve">t the most basic level of Christian life there </w:t>
      </w:r>
      <w:r w:rsidR="009F4E49">
        <w:t>can be</w:t>
      </w:r>
      <w:r w:rsidR="00B15840">
        <w:t xml:space="preserve"> only one primordial vocation for all Christians, the vocation to be a baptized disciple of Jesus.  All other ways of Christian living become simply </w:t>
      </w:r>
      <w:r w:rsidR="006C720A">
        <w:t>concrete</w:t>
      </w:r>
      <w:r w:rsidR="00B15840">
        <w:t xml:space="preserve"> embodiments of this one vocation.  Holy orders, professed religious life, Christian marriage and the single life </w:t>
      </w:r>
      <w:r w:rsidR="006C720A">
        <w:t xml:space="preserve">all </w:t>
      </w:r>
      <w:r w:rsidR="00B15840">
        <w:t>need to be considered as concrete ways in which individuals respond to the invitation to Christian discipleship.</w:t>
      </w:r>
      <w:r w:rsidR="00B30074">
        <w:t xml:space="preserve">  Consider, for example, the vocation to Christian marriage.</w:t>
      </w:r>
    </w:p>
    <w:p w14:paraId="3842862E" w14:textId="77777777" w:rsidR="00B30074" w:rsidRPr="00880C5D" w:rsidRDefault="00B30074" w:rsidP="00B30074">
      <w:r>
        <w:t>The lay Filipino theologian, José de Mesa, has placed discipleship at the heart of Christian marriage.</w:t>
      </w:r>
      <w:r>
        <w:rPr>
          <w:rStyle w:val="FootnoteReference"/>
        </w:rPr>
        <w:footnoteReference w:id="33"/>
      </w:r>
      <w:r>
        <w:t xml:space="preserve">  Mesa contends that for too long, at least in the Catholic tradition, marriage has been viewed as a second class vocation, either because of its carnal character, or because one’s responsibilities towards one spouse and/or children made it impossible to give an “undivided heart” to God.  He insists that the true theological significance of marriage is found in its relationship to the one primordial call to all Christians to be disciples of Jesus in service to God’s reign.  Christian discipleship, in all of its forms, is a “thankful response to God’s act toward us in </w:t>
      </w:r>
      <w:r>
        <w:lastRenderedPageBreak/>
        <w:t xml:space="preserve">Jesus Christ, in a life of serving and caring patterned after the life of Christ.”  </w:t>
      </w:r>
      <w:r w:rsidR="006C720A">
        <w:t>T</w:t>
      </w:r>
      <w:r>
        <w:t>o consider marriage from the perspective of discipleship is to understand marriage as a concrete way of serving God’s coming reign and contributing to the transformation of society.  Marriage constitutes, Mesa insists, a particular form of “covenant community”; it creates a “domestic church.”   Here he draws on a theme that has received considerable theological attention since it was first treated at Vatican II.</w:t>
      </w:r>
      <w:r>
        <w:rPr>
          <w:rStyle w:val="FootnoteReference"/>
        </w:rPr>
        <w:footnoteReference w:id="34"/>
      </w:r>
      <w:r>
        <w:t xml:space="preserve">  The council reflected on the domestic church in several texts.  The expression was used in</w:t>
      </w:r>
      <w:r w:rsidR="001F62CD">
        <w:rPr>
          <w:i/>
        </w:rPr>
        <w:t xml:space="preserve"> Lumen </w:t>
      </w:r>
      <w:proofErr w:type="spellStart"/>
      <w:r w:rsidR="001F62CD">
        <w:rPr>
          <w:i/>
        </w:rPr>
        <w:t>gentium</w:t>
      </w:r>
      <w:proofErr w:type="spellEnd"/>
      <w:r w:rsidR="001F62CD">
        <w:rPr>
          <w:i/>
        </w:rPr>
        <w:t xml:space="preserve"> </w:t>
      </w:r>
      <w:r w:rsidR="001F62CD">
        <w:t>to</w:t>
      </w:r>
      <w:r>
        <w:t xml:space="preserve"> emphasize parents’ role as “t</w:t>
      </w:r>
      <w:r w:rsidR="001F62CD">
        <w:t>he first preachers of the faith</w:t>
      </w:r>
      <w:r>
        <w:t>”</w:t>
      </w:r>
      <w:r w:rsidR="001F62CD">
        <w:t xml:space="preserve"> (LG 11).</w:t>
      </w:r>
      <w:r>
        <w:t xml:space="preserve">  But of particular significance is the council’s treatment of marriage and family in its Decree on the Apostolate of the Laity, where it describes marriage and family from the perspective of the church’s mission in the world to serve God’s coming reign:</w:t>
      </w:r>
    </w:p>
    <w:p w14:paraId="6B225F49" w14:textId="77777777" w:rsidR="00B30074" w:rsidRDefault="00B30074" w:rsidP="00B30074">
      <w:pPr>
        <w:pStyle w:val="QU"/>
      </w:pPr>
      <w:r>
        <w:t xml:space="preserve"> The mission of being the primary vital cell of society has been given to the family by God.  This mission will be accomplished if the family, by the mutual affection of its members and by family prayer, presents itself as a domestic sanctuary of the church; if the whole family takes its part in the church’s liturgical worship; if, finally, it offers active hospitality, and practices justice and other good works for the benefit of all its sisters and brothers who suffer from want.  Among the various works of the family apostolate the following may be listed:  adopting abandoned children, showing a loving welcome to strangers, helping with the running of schools, supporting adolescents with advice and help … (AA 11).</w:t>
      </w:r>
    </w:p>
    <w:p w14:paraId="20AE65CA" w14:textId="77777777" w:rsidR="00B30074" w:rsidRDefault="00B30074" w:rsidP="00B30074">
      <w:pPr>
        <w:pStyle w:val="Postquote"/>
      </w:pPr>
      <w:r>
        <w:t xml:space="preserve"> Pope John Paul II often return</w:t>
      </w:r>
      <w:r w:rsidR="006C720A">
        <w:t>ed</w:t>
      </w:r>
      <w:r>
        <w:t xml:space="preserve"> to the theme of the domestic church and in his apostolic exhortation,</w:t>
      </w:r>
      <w:r>
        <w:rPr>
          <w:i/>
        </w:rPr>
        <w:t xml:space="preserve"> </w:t>
      </w:r>
      <w:proofErr w:type="spellStart"/>
      <w:r>
        <w:rPr>
          <w:i/>
        </w:rPr>
        <w:t>Familiaris</w:t>
      </w:r>
      <w:proofErr w:type="spellEnd"/>
      <w:r>
        <w:rPr>
          <w:i/>
        </w:rPr>
        <w:t xml:space="preserve"> </w:t>
      </w:r>
      <w:proofErr w:type="spellStart"/>
      <w:r>
        <w:rPr>
          <w:i/>
        </w:rPr>
        <w:t>Consortio</w:t>
      </w:r>
      <w:proofErr w:type="spellEnd"/>
      <w:r>
        <w:rPr>
          <w:i/>
        </w:rPr>
        <w:t>,</w:t>
      </w:r>
      <w:r>
        <w:t xml:space="preserve"> he described the family as a “school of deeper humanity”</w:t>
      </w:r>
      <w:r w:rsidR="001F62CD">
        <w:t xml:space="preserve"> (FC 21).</w:t>
      </w:r>
      <w:r w:rsidR="006C720A">
        <w:rPr>
          <w:rStyle w:val="FootnoteReference"/>
        </w:rPr>
        <w:footnoteReference w:id="35"/>
      </w:r>
      <w:r>
        <w:t xml:space="preserve">  In that document the pope explicitly relates the family to discipleship and service of God’s reign:</w:t>
      </w:r>
    </w:p>
    <w:p w14:paraId="5D83AA02" w14:textId="77777777" w:rsidR="00B30074" w:rsidRDefault="00B30074" w:rsidP="00B30074">
      <w:pPr>
        <w:pStyle w:val="QU"/>
      </w:pPr>
      <w:r>
        <w:t>Among the fundamental tasks of the Christian family is its ecclesial task: the family is placed at the service of the building up of the Kingdom of God in history by participating in the life and mission of the Church (FC 49).</w:t>
      </w:r>
    </w:p>
    <w:p w14:paraId="1F1DEE56" w14:textId="77777777" w:rsidR="00B30074" w:rsidRDefault="00B30074" w:rsidP="00B30074">
      <w:pPr>
        <w:pStyle w:val="Postquote"/>
      </w:pPr>
      <w:r>
        <w:lastRenderedPageBreak/>
        <w:t>This view of marriage is far removed from that which would see marriage and family as a self-contained refuge from a hostile world.  A Christian theology of marriage and family must never be presented as some inward looking reality which does little more than ward off the evil “secular” influences of our broader society.  To be a member of a family is always at the same time to be engaged in the concerns of the broader society.</w:t>
      </w:r>
    </w:p>
    <w:p w14:paraId="5A4D2A63" w14:textId="77777777" w:rsidR="00F21043" w:rsidRDefault="00035F9D" w:rsidP="004F3FD7">
      <w:r>
        <w:t xml:space="preserve">Finally a renewed emphasis on </w:t>
      </w:r>
      <w:r w:rsidR="006C720A">
        <w:t xml:space="preserve">Christian </w:t>
      </w:r>
      <w:r w:rsidR="00B30074">
        <w:t xml:space="preserve">discipleship will </w:t>
      </w:r>
      <w:r w:rsidR="006C720A">
        <w:t>build</w:t>
      </w:r>
      <w:r w:rsidR="00B30074">
        <w:t xml:space="preserve"> on the council’s call to lay people </w:t>
      </w:r>
      <w:r w:rsidR="00B15840">
        <w:t xml:space="preserve">to take the initiative in bringing the gospel to bear on their daily lives.  </w:t>
      </w:r>
      <w:r w:rsidR="00F21043">
        <w:t xml:space="preserve">The council bishops sought to move beyond more passive theologies of the laity </w:t>
      </w:r>
      <w:r w:rsidR="006C720A">
        <w:t xml:space="preserve">that called for nothing other than obedience to the clergy.  The council called all </w:t>
      </w:r>
      <w:r w:rsidR="00F21043">
        <w:t>the Christian faithful to a more adult form of participation in the life of the church.  It was the laity</w:t>
      </w:r>
      <w:r w:rsidR="006C720A">
        <w:t>, in particular,</w:t>
      </w:r>
      <w:r w:rsidR="00F21043">
        <w:t xml:space="preserve"> who </w:t>
      </w:r>
      <w:proofErr w:type="gramStart"/>
      <w:r w:rsidR="00F21043">
        <w:t>were</w:t>
      </w:r>
      <w:proofErr w:type="gramEnd"/>
      <w:r w:rsidR="00F21043">
        <w:t xml:space="preserve"> to take the lead in applying the Gospel to the press</w:t>
      </w:r>
      <w:r w:rsidR="006C720A">
        <w:t>ing concerns of the modern age</w:t>
      </w:r>
      <w:r w:rsidR="001F62CD">
        <w:t>; however</w:t>
      </w:r>
      <w:r w:rsidR="006C720A">
        <w:t xml:space="preserve"> it was the whole church which was to be a leaven in the world (GS 40).</w:t>
      </w:r>
      <w:r w:rsidR="00F21043">
        <w:t xml:space="preserve"> </w:t>
      </w:r>
    </w:p>
    <w:p w14:paraId="5D600D4D" w14:textId="77777777" w:rsidR="007E7FE7" w:rsidRDefault="007E7FE7" w:rsidP="007E7FE7">
      <w:r>
        <w:t xml:space="preserve">But what then was to be the role of the traditional teachers of the faith, the pope and bishops?  The council wrote: “For guidance and spiritual strength let them turn to the clergy; but let them realize that their pastors will not always be so expert as to have a ready answer to every problem, even every grave problem, that arises; this is not the role of the clergy.”  The council saw the task of the clergy, from the normative teaching of pope and bishops to the catechetical activities and preaching of priests and deacons, as that of proclaiming the moral vision of the Gospel as it has been perpetuated in the living tradition of the Church.  It was the particular duty of all the </w:t>
      </w:r>
      <w:r w:rsidR="006C720A">
        <w:t xml:space="preserve">lay </w:t>
      </w:r>
      <w:r>
        <w:t>baptized to take this moral vision and integrate it into their daily lives and apply it to the complex issues of the age.  This process of integration and application went beyond the province of the clergy; this was the realm of concrete prudential judgment.</w:t>
      </w:r>
    </w:p>
    <w:p w14:paraId="48EB2E0C" w14:textId="77777777" w:rsidR="00A914DD" w:rsidRPr="00040506" w:rsidRDefault="00A914DD" w:rsidP="00A914DD">
      <w:r w:rsidRPr="00040506">
        <w:t xml:space="preserve">The council bishops were surprisingly realistic about the complexity of </w:t>
      </w:r>
      <w:r>
        <w:t xml:space="preserve">the prudential realm </w:t>
      </w:r>
      <w:r w:rsidRPr="00040506">
        <w:t>and recognized that “</w:t>
      </w:r>
      <w:r w:rsidR="00733471">
        <w:t>[v]</w:t>
      </w:r>
      <w:proofErr w:type="spellStart"/>
      <w:r>
        <w:t>ery</w:t>
      </w:r>
      <w:proofErr w:type="spellEnd"/>
      <w:r>
        <w:t xml:space="preserve"> often their Christian vision will suggest a certain solution in some given situation.  Yet it happens rather frequently, and legitimately so, that some of the faithful, with no less sincerity, will see the problem quite differently</w:t>
      </w:r>
      <w:r w:rsidR="00733471">
        <w:t>.</w:t>
      </w:r>
      <w:r>
        <w:t>”</w:t>
      </w:r>
      <w:r w:rsidR="00733471">
        <w:t xml:space="preserve"> </w:t>
      </w:r>
      <w:r w:rsidRPr="00040506">
        <w:t xml:space="preserve">How is this </w:t>
      </w:r>
      <w:r>
        <w:t>disagreement to be adjudicated?</w:t>
      </w:r>
      <w:r w:rsidRPr="00040506">
        <w:t xml:space="preserve"> </w:t>
      </w:r>
      <w:r>
        <w:t xml:space="preserve">“Let them, then, try to guide each other by sincere </w:t>
      </w:r>
      <w:r>
        <w:lastRenderedPageBreak/>
        <w:t>dialogue in a spirit of mutual charity and with a genuine concer</w:t>
      </w:r>
      <w:r w:rsidR="00733471">
        <w:t>n for the common good above all</w:t>
      </w:r>
      <w:r>
        <w:t>”</w:t>
      </w:r>
      <w:r w:rsidR="00733471" w:rsidRPr="00733471">
        <w:t xml:space="preserve"> </w:t>
      </w:r>
      <w:r w:rsidR="00733471">
        <w:t>(GS 43).</w:t>
      </w:r>
      <w:r w:rsidR="00733471" w:rsidRPr="00040506">
        <w:t xml:space="preserve"> </w:t>
      </w:r>
      <w:r w:rsidRPr="00040506">
        <w:t xml:space="preserve"> </w:t>
      </w:r>
      <w:r>
        <w:t xml:space="preserve">This passage </w:t>
      </w:r>
      <w:r w:rsidRPr="00040506">
        <w:t>reflect</w:t>
      </w:r>
      <w:r>
        <w:t>s</w:t>
      </w:r>
      <w:r w:rsidRPr="00040506">
        <w:t xml:space="preserve"> a sophisticated grasp of both the necessity and the complexity of Christian participation in the public realm.  </w:t>
      </w:r>
    </w:p>
    <w:p w14:paraId="01524B7E" w14:textId="77777777" w:rsidR="00035F9D" w:rsidRDefault="00A914DD" w:rsidP="00A914DD">
      <w:r>
        <w:t xml:space="preserve">Not everyone has appreciated the practical significance of the council’s acknowledgment of the place of prudential judgment.  Implicit in the council’s teaching is the acknowledgment that Catholics who embrace the full range of church moral teaching may legitimately disagree with one another regarding the concrete implementation of these teachings in society.  For example, church social teaching calls Catholics to a preferential option for the poor, a special concern for those who are poor and powerless in the world.  No conscientious Catholic is free to dismiss the plight of the poor as somebody else’s problem.  Yet, even as two Catholics </w:t>
      </w:r>
      <w:r w:rsidR="00733471">
        <w:t>must</w:t>
      </w:r>
      <w:r>
        <w:t xml:space="preserve"> agree that they have a religious and moral obligation toward the poor, they may legitimately disagree on the particular policy initiatives that will best alleviate poverty.  </w:t>
      </w:r>
    </w:p>
    <w:p w14:paraId="4D26DF0A" w14:textId="77777777" w:rsidR="00733471" w:rsidRDefault="00733471" w:rsidP="00A914DD">
      <w:r>
        <w:t>If we are to complete the council’s vision, we must develop a theological vision and a pastoral plan that begins with the life of Christian discipleship and puts all church institutions and polices at the service of this commitment.</w:t>
      </w:r>
    </w:p>
    <w:p w14:paraId="67475A4C" w14:textId="77777777" w:rsidR="00035F9D" w:rsidRDefault="00035F9D" w:rsidP="00035F9D">
      <w:pPr>
        <w:pStyle w:val="Heading2"/>
      </w:pPr>
      <w:r>
        <w:t>Becoming a Community of Discernment</w:t>
      </w:r>
    </w:p>
    <w:p w14:paraId="37600ED8" w14:textId="2815D370" w:rsidR="00874966" w:rsidRDefault="00A914DD" w:rsidP="00035F9D">
      <w:r>
        <w:t xml:space="preserve"> </w:t>
      </w:r>
      <w:r w:rsidR="00846F9C">
        <w:t xml:space="preserve">The second project that must be undertaken if we are to bring the council’s vision to completion takes its inspiration from the opening lines of </w:t>
      </w:r>
      <w:r w:rsidR="00846F9C">
        <w:rPr>
          <w:i/>
        </w:rPr>
        <w:t xml:space="preserve">Dei Verbum, </w:t>
      </w:r>
      <w:r w:rsidR="00846F9C">
        <w:t>“</w:t>
      </w:r>
      <w:r w:rsidR="00733471">
        <w:t>[h]</w:t>
      </w:r>
      <w:r w:rsidR="00846F9C">
        <w:t xml:space="preserve">earing the Word of God reverently and proclaiming it confidently, this sacred synod makes its own the words of St. John…” (DV1). The council reminds us of the ecclesial priority of </w:t>
      </w:r>
      <w:r w:rsidR="00846F9C" w:rsidRPr="00733471">
        <w:rPr>
          <w:i/>
        </w:rPr>
        <w:t>hearing</w:t>
      </w:r>
      <w:r w:rsidR="00846F9C">
        <w:t xml:space="preserve"> the Word of God.  This divine Word, incarnate in Jesus of Nazareth by the power of the Holy Spirit, is addressed to the entire people of God and invites a response of faith. As we have already noted, in </w:t>
      </w:r>
      <w:r w:rsidR="00733471">
        <w:rPr>
          <w:i/>
        </w:rPr>
        <w:t>Dei Verbum</w:t>
      </w:r>
      <w:r w:rsidR="00846F9C">
        <w:t xml:space="preserve"> </w:t>
      </w:r>
      <w:r w:rsidR="00F66718">
        <w:t xml:space="preserve">we see a decisive turn away </w:t>
      </w:r>
      <w:r w:rsidR="00846F9C">
        <w:t xml:space="preserve">from </w:t>
      </w:r>
      <w:r w:rsidR="00CB55CD">
        <w:t>an</w:t>
      </w:r>
      <w:r w:rsidR="00846F9C">
        <w:t xml:space="preserve"> </w:t>
      </w:r>
      <w:proofErr w:type="spellStart"/>
      <w:r w:rsidR="00846F9C">
        <w:t>illuminationist</w:t>
      </w:r>
      <w:proofErr w:type="spellEnd"/>
      <w:r w:rsidR="00846F9C">
        <w:t xml:space="preserve"> theology of revelation </w:t>
      </w:r>
      <w:r w:rsidR="00F66718">
        <w:t xml:space="preserve">and </w:t>
      </w:r>
      <w:r w:rsidR="00846F9C">
        <w:t>to</w:t>
      </w:r>
      <w:r w:rsidR="00F66718">
        <w:t>ward</w:t>
      </w:r>
      <w:r w:rsidR="00846F9C">
        <w:t xml:space="preserve"> a theology that was more </w:t>
      </w:r>
      <w:proofErr w:type="spellStart"/>
      <w:r w:rsidR="00846F9C">
        <w:t>personalist</w:t>
      </w:r>
      <w:proofErr w:type="spellEnd"/>
      <w:r w:rsidR="00846F9C">
        <w:t xml:space="preserve"> and fully Trinitarian in character.  Th</w:t>
      </w:r>
      <w:r w:rsidR="00F66718">
        <w:t>roughout the documents th</w:t>
      </w:r>
      <w:r w:rsidR="00846F9C">
        <w:t xml:space="preserve">e council offered scattered insights into the ecclesial dynamics that </w:t>
      </w:r>
      <w:r w:rsidR="00F66718">
        <w:t>would be</w:t>
      </w:r>
      <w:r w:rsidR="00846F9C">
        <w:t xml:space="preserve"> required if the church </w:t>
      </w:r>
      <w:r w:rsidR="00F66718">
        <w:t>were</w:t>
      </w:r>
      <w:r w:rsidR="00846F9C">
        <w:t xml:space="preserve"> to effectively </w:t>
      </w:r>
      <w:r w:rsidR="00846F9C">
        <w:lastRenderedPageBreak/>
        <w:t xml:space="preserve">hear the Word of God.  These </w:t>
      </w:r>
      <w:r w:rsidR="00F66718">
        <w:t>include</w:t>
      </w:r>
      <w:r w:rsidR="00846F9C">
        <w:t xml:space="preserve"> </w:t>
      </w:r>
      <w:r w:rsidR="00F66718">
        <w:t>the assertion that the magisterium is not superior to God’s Word but rather is its servant</w:t>
      </w:r>
      <w:r w:rsidR="00C57B05">
        <w:t xml:space="preserve"> (DV 10), its</w:t>
      </w:r>
      <w:r w:rsidR="00846F9C">
        <w:t xml:space="preserve"> teaching on the </w:t>
      </w:r>
      <w:proofErr w:type="spellStart"/>
      <w:r w:rsidR="00846F9C" w:rsidRPr="00846F9C">
        <w:rPr>
          <w:i/>
        </w:rPr>
        <w:t>sensus</w:t>
      </w:r>
      <w:proofErr w:type="spellEnd"/>
      <w:r w:rsidR="00846F9C" w:rsidRPr="00846F9C">
        <w:rPr>
          <w:i/>
        </w:rPr>
        <w:t xml:space="preserve"> </w:t>
      </w:r>
      <w:proofErr w:type="spellStart"/>
      <w:r w:rsidR="00846F9C" w:rsidRPr="00846F9C">
        <w:rPr>
          <w:i/>
        </w:rPr>
        <w:t>fidei</w:t>
      </w:r>
      <w:proofErr w:type="spellEnd"/>
      <w:r w:rsidR="00846F9C">
        <w:t>, the graced capacity of believer</w:t>
      </w:r>
      <w:r w:rsidR="00F66718">
        <w:t>s</w:t>
      </w:r>
      <w:r w:rsidR="00846F9C">
        <w:t xml:space="preserve"> to actively appropriate God’s Word into their lives</w:t>
      </w:r>
      <w:r w:rsidR="00C57B05">
        <w:t xml:space="preserve"> (LG 12), and the </w:t>
      </w:r>
      <w:r w:rsidR="00846F9C">
        <w:t xml:space="preserve">council’s theology of tradition </w:t>
      </w:r>
      <w:r w:rsidR="00C57B05">
        <w:t xml:space="preserve">that </w:t>
      </w:r>
      <w:r w:rsidR="00846F9C">
        <w:t xml:space="preserve">affirmed that tradition progresses, not only by the preaching of the bishops but also by “the contemplation and study of believers” and their “intimate sense of spiritual realities which they experience” (DV 8). </w:t>
      </w:r>
    </w:p>
    <w:p w14:paraId="7B264A42" w14:textId="52482668" w:rsidR="00F66718" w:rsidRDefault="00F66718" w:rsidP="00035F9D">
      <w:r>
        <w:t xml:space="preserve">In spite of these </w:t>
      </w:r>
      <w:r w:rsidR="00C57B05">
        <w:t>scattered insights</w:t>
      </w:r>
      <w:r>
        <w:t>, t</w:t>
      </w:r>
      <w:r w:rsidR="00846F9C">
        <w:t xml:space="preserve">he council was not able to </w:t>
      </w:r>
      <w:r w:rsidR="00C57B05">
        <w:t xml:space="preserve">develop in any detail ways in which these insights might be given </w:t>
      </w:r>
      <w:r w:rsidR="00846F9C">
        <w:t>institutional form.</w:t>
      </w:r>
      <w:r>
        <w:t xml:space="preserve">  </w:t>
      </w:r>
      <w:proofErr w:type="spellStart"/>
      <w:r>
        <w:t>Hervé</w:t>
      </w:r>
      <w:proofErr w:type="spellEnd"/>
      <w:r>
        <w:t xml:space="preserve"> </w:t>
      </w:r>
      <w:proofErr w:type="spellStart"/>
      <w:r>
        <w:t>Legrand</w:t>
      </w:r>
      <w:proofErr w:type="spellEnd"/>
      <w:r>
        <w:t xml:space="preserve"> </w:t>
      </w:r>
      <w:r w:rsidR="00C57B05">
        <w:t>writes</w:t>
      </w:r>
      <w:r>
        <w:t>:</w:t>
      </w:r>
    </w:p>
    <w:p w14:paraId="06FBC55C" w14:textId="77777777" w:rsidR="00F66718" w:rsidRDefault="00F66718" w:rsidP="00F66718">
      <w:pPr>
        <w:pStyle w:val="QU"/>
      </w:pPr>
      <w:r w:rsidRPr="00874966">
        <w:rPr>
          <w:i/>
        </w:rPr>
        <w:t>Vatican II paid scant attention to the canonical dimension of the reforms it sought to introduce</w:t>
      </w:r>
      <w:r>
        <w:t>.  Of all the Council documents, only the Constitution on the Liturgy concerned itself with guaranteeing its enactment, setting out forty-</w:t>
      </w:r>
      <w:proofErr w:type="gramStart"/>
      <w:r>
        <w:t>nine(</w:t>
      </w:r>
      <w:proofErr w:type="gramEnd"/>
      <w:r>
        <w:t xml:space="preserve">!) normative prescriptions.  After this, </w:t>
      </w:r>
      <w:proofErr w:type="spellStart"/>
      <w:r w:rsidRPr="00F66718">
        <w:rPr>
          <w:i/>
        </w:rPr>
        <w:t>Christu</w:t>
      </w:r>
      <w:r>
        <w:rPr>
          <w:i/>
        </w:rPr>
        <w:t>s</w:t>
      </w:r>
      <w:proofErr w:type="spellEnd"/>
      <w:r w:rsidRPr="00F66718">
        <w:rPr>
          <w:i/>
        </w:rPr>
        <w:t xml:space="preserve"> Dominus</w:t>
      </w:r>
      <w:r>
        <w:t xml:space="preserve"> </w:t>
      </w:r>
      <w:r w:rsidR="00874966">
        <w:t>was virtually the only document to use this method, though it set out wishes rather than norms.</w:t>
      </w:r>
      <w:r w:rsidR="00874966">
        <w:rPr>
          <w:rStyle w:val="FootnoteReference"/>
        </w:rPr>
        <w:footnoteReference w:id="36"/>
      </w:r>
    </w:p>
    <w:p w14:paraId="03CF05CF" w14:textId="77777777" w:rsidR="00A914DD" w:rsidRDefault="00874966" w:rsidP="00874966">
      <w:pPr>
        <w:pStyle w:val="Postquote"/>
      </w:pPr>
      <w:proofErr w:type="spellStart"/>
      <w:r>
        <w:rPr>
          <w:rFonts w:ascii="Calibri" w:hAnsi="Calibri"/>
          <w:szCs w:val="24"/>
        </w:rPr>
        <w:t>Legrand</w:t>
      </w:r>
      <w:proofErr w:type="spellEnd"/>
      <w:r>
        <w:rPr>
          <w:rFonts w:ascii="Calibri" w:hAnsi="Calibri"/>
          <w:szCs w:val="24"/>
        </w:rPr>
        <w:t xml:space="preserve"> wonders whether this failure to attend to issues of canonical implementation may be a consequence of the fact that canon law at that time “presented no more than a cramped vision of ecclesiology” that consequently held little interest for the council majority.</w:t>
      </w:r>
      <w:r>
        <w:rPr>
          <w:rStyle w:val="FootnoteReference"/>
          <w:rFonts w:ascii="Calibri" w:hAnsi="Calibri"/>
          <w:szCs w:val="24"/>
        </w:rPr>
        <w:footnoteReference w:id="37"/>
      </w:r>
      <w:r>
        <w:rPr>
          <w:rFonts w:ascii="Calibri" w:hAnsi="Calibri"/>
          <w:szCs w:val="24"/>
        </w:rPr>
        <w:t xml:space="preserve">  This failure to attend to the canonical implementation of the theological insight regarding the church’s active reception of God’s Word may explain why the council so often settled for </w:t>
      </w:r>
      <w:r w:rsidR="00CB55CD">
        <w:t>vague exhortations to pastors to “willingly use [the faithful’s] prudent advice</w:t>
      </w:r>
      <w:r>
        <w:t>.</w:t>
      </w:r>
      <w:r w:rsidR="00CB55CD">
        <w:t>”</w:t>
      </w:r>
      <w:r>
        <w:t xml:space="preserve">  What was lacking was any effort </w:t>
      </w:r>
      <w:r w:rsidR="00CB55CD">
        <w:t xml:space="preserve">to </w:t>
      </w:r>
      <w:r>
        <w:t>promulgate</w:t>
      </w:r>
      <w:r w:rsidR="00CB55CD">
        <w:t xml:space="preserve"> norms for the obligatory consultation of the faithful as an absolutely crucial element in the church’s process of discerning God’s Word. </w:t>
      </w:r>
    </w:p>
    <w:p w14:paraId="381E9032" w14:textId="77777777" w:rsidR="00CB55CD" w:rsidRDefault="00CB55CD" w:rsidP="00035F9D">
      <w:pPr>
        <w:rPr>
          <w:kern w:val="28"/>
        </w:rPr>
      </w:pPr>
      <w:r>
        <w:t xml:space="preserve">Since the council there have been sporadic efforts in this regard.  </w:t>
      </w:r>
      <w:r>
        <w:rPr>
          <w:kern w:val="28"/>
        </w:rPr>
        <w:t xml:space="preserve">The 1983 Code of Canon Law, in canon 212, explicitly affirms the rights of the faithful to make known their needs and desires and to share their insight with church leaders.  In keeping with this fundamental right, the code provides several consultative structures </w:t>
      </w:r>
      <w:r>
        <w:rPr>
          <w:kern w:val="28"/>
        </w:rPr>
        <w:lastRenderedPageBreak/>
        <w:t>oriented toward input from the Christian faithful.</w:t>
      </w:r>
      <w:r>
        <w:rPr>
          <w:rStyle w:val="FootnoteReference"/>
          <w:kern w:val="28"/>
        </w:rPr>
        <w:footnoteReference w:id="38"/>
      </w:r>
      <w:r>
        <w:rPr>
          <w:kern w:val="28"/>
        </w:rPr>
        <w:t xml:space="preserve">  For example the code encourages the creation of diocesan pastoral councils (c. 511) and the convocation of diocesan synods (cc. 460-8); in both instances lay participation is envisioned.  However, it must also be noted that these structures are only </w:t>
      </w:r>
      <w:r>
        <w:rPr>
          <w:i/>
          <w:iCs/>
          <w:kern w:val="28"/>
        </w:rPr>
        <w:t>recommended</w:t>
      </w:r>
      <w:r>
        <w:rPr>
          <w:kern w:val="28"/>
        </w:rPr>
        <w:t xml:space="preserve"> by the code whereas diocesan </w:t>
      </w:r>
      <w:proofErr w:type="spellStart"/>
      <w:r>
        <w:rPr>
          <w:kern w:val="28"/>
        </w:rPr>
        <w:t>presbyteral</w:t>
      </w:r>
      <w:proofErr w:type="spellEnd"/>
      <w:r>
        <w:rPr>
          <w:kern w:val="28"/>
        </w:rPr>
        <w:t xml:space="preserve"> councils are actually mandated by canon law (c. 495).  There is another structure mandated by the code that, in principle, could offer an important venue for consultation of the faithful and that is the parish visitation.  The Code of Canon Law requires that the bishop or a proxy visit all parishes in their diocese over a five year period (c. 396.1).  Of course structures for consultation are not limited to these canonical provisions.  In many dioceses one finds various boards and commissions created to oversee important dimensions of the church’s ministry and mission and many of these boards and commissions have significant lay representation.  </w:t>
      </w:r>
    </w:p>
    <w:p w14:paraId="078E9846" w14:textId="77777777" w:rsidR="00CB55CD" w:rsidRDefault="00CB55CD" w:rsidP="00CB55CD">
      <w:r>
        <w:rPr>
          <w:kern w:val="28"/>
        </w:rPr>
        <w:t xml:space="preserve">In Pope John Paul II’s apostolic letter, </w:t>
      </w:r>
      <w:r>
        <w:rPr>
          <w:i/>
          <w:kern w:val="28"/>
        </w:rPr>
        <w:t xml:space="preserve">Novo </w:t>
      </w:r>
      <w:proofErr w:type="spellStart"/>
      <w:r>
        <w:rPr>
          <w:i/>
          <w:kern w:val="28"/>
        </w:rPr>
        <w:t>millennio</w:t>
      </w:r>
      <w:proofErr w:type="spellEnd"/>
      <w:r>
        <w:rPr>
          <w:i/>
          <w:kern w:val="28"/>
        </w:rPr>
        <w:t xml:space="preserve"> </w:t>
      </w:r>
      <w:proofErr w:type="spellStart"/>
      <w:r>
        <w:rPr>
          <w:i/>
          <w:kern w:val="28"/>
        </w:rPr>
        <w:t>ineunte</w:t>
      </w:r>
      <w:proofErr w:type="spellEnd"/>
      <w:r w:rsidRPr="00874966">
        <w:rPr>
          <w:kern w:val="28"/>
        </w:rPr>
        <w:t>,</w:t>
      </w:r>
      <w:r w:rsidR="00874966" w:rsidRPr="00874966">
        <w:rPr>
          <w:rStyle w:val="FootnoteReference"/>
          <w:kern w:val="28"/>
        </w:rPr>
        <w:footnoteReference w:id="39"/>
      </w:r>
      <w:r>
        <w:rPr>
          <w:i/>
          <w:kern w:val="28"/>
        </w:rPr>
        <w:t xml:space="preserve"> </w:t>
      </w:r>
      <w:r>
        <w:rPr>
          <w:kern w:val="28"/>
        </w:rPr>
        <w:t xml:space="preserve">and in his apostolic exhortation on the office of the bishop, </w:t>
      </w:r>
      <w:proofErr w:type="spellStart"/>
      <w:r>
        <w:rPr>
          <w:i/>
          <w:kern w:val="28"/>
        </w:rPr>
        <w:t>Pastores</w:t>
      </w:r>
      <w:proofErr w:type="spellEnd"/>
      <w:r>
        <w:rPr>
          <w:i/>
          <w:kern w:val="28"/>
        </w:rPr>
        <w:t xml:space="preserve"> </w:t>
      </w:r>
      <w:proofErr w:type="spellStart"/>
      <w:r>
        <w:rPr>
          <w:i/>
          <w:kern w:val="28"/>
        </w:rPr>
        <w:t>gregis</w:t>
      </w:r>
      <w:proofErr w:type="spellEnd"/>
      <w:r>
        <w:rPr>
          <w:i/>
          <w:kern w:val="28"/>
        </w:rPr>
        <w:t xml:space="preserve">, </w:t>
      </w:r>
      <w:r>
        <w:rPr>
          <w:kern w:val="28"/>
        </w:rPr>
        <w:t>he affirmed the value of bishops exercising their ministry collaboratively through consultation and dialogue.</w:t>
      </w:r>
      <w:r>
        <w:rPr>
          <w:rStyle w:val="FootnoteReference"/>
          <w:kern w:val="28"/>
        </w:rPr>
        <w:footnoteReference w:id="40"/>
      </w:r>
      <w:r>
        <w:rPr>
          <w:kern w:val="28"/>
        </w:rPr>
        <w:t xml:space="preserve">  In </w:t>
      </w:r>
      <w:r>
        <w:rPr>
          <w:i/>
          <w:iCs/>
          <w:kern w:val="28"/>
        </w:rPr>
        <w:t>Novo</w:t>
      </w:r>
      <w:r>
        <w:rPr>
          <w:kern w:val="28"/>
        </w:rPr>
        <w:t xml:space="preserve"> </w:t>
      </w:r>
      <w:proofErr w:type="spellStart"/>
      <w:r>
        <w:rPr>
          <w:i/>
          <w:kern w:val="28"/>
        </w:rPr>
        <w:t>millennio</w:t>
      </w:r>
      <w:proofErr w:type="spellEnd"/>
      <w:r>
        <w:rPr>
          <w:i/>
          <w:kern w:val="28"/>
        </w:rPr>
        <w:t xml:space="preserve"> </w:t>
      </w:r>
      <w:proofErr w:type="spellStart"/>
      <w:r>
        <w:rPr>
          <w:i/>
          <w:kern w:val="28"/>
        </w:rPr>
        <w:t>ineunte</w:t>
      </w:r>
      <w:proofErr w:type="spellEnd"/>
      <w:r>
        <w:rPr>
          <w:kern w:val="28"/>
        </w:rPr>
        <w:t xml:space="preserve"> John Paul II quoted St. </w:t>
      </w:r>
      <w:proofErr w:type="spellStart"/>
      <w:r>
        <w:rPr>
          <w:kern w:val="28"/>
        </w:rPr>
        <w:t>Paulinus</w:t>
      </w:r>
      <w:proofErr w:type="spellEnd"/>
      <w:r>
        <w:rPr>
          <w:kern w:val="28"/>
        </w:rPr>
        <w:t xml:space="preserve"> of Nola:  “</w:t>
      </w:r>
      <w:r>
        <w:t>Let us listen to what all the faithful say, because in every one of them the Spirit of God breathes”</w:t>
      </w:r>
      <w:r w:rsidR="00B871EC">
        <w:t xml:space="preserve"> (NM 45).</w:t>
      </w:r>
      <w:r>
        <w:t xml:space="preserve">  And in </w:t>
      </w:r>
      <w:r w:rsidR="00B871EC">
        <w:t>and</w:t>
      </w:r>
      <w:r>
        <w:t xml:space="preserve"> address to the U.S. bishops in September, 2004:  </w:t>
      </w:r>
    </w:p>
    <w:p w14:paraId="04745B33" w14:textId="77777777" w:rsidR="00CB55CD" w:rsidRDefault="00CB55CD" w:rsidP="00CB55CD">
      <w:pPr>
        <w:pStyle w:val="QU"/>
      </w:pPr>
      <w:r>
        <w:t xml:space="preserve">A commitment to creating better structures of participation, consultation, and shared responsibility, should not be misunderstood as a concession to a secular democratic model of </w:t>
      </w:r>
      <w:r>
        <w:lastRenderedPageBreak/>
        <w:t>governance, but as an intrinsic requirement of the exercise of episcopal authority and a necessary means of strengthening that authority.</w:t>
      </w:r>
      <w:r>
        <w:rPr>
          <w:rStyle w:val="FootnoteReference"/>
        </w:rPr>
        <w:footnoteReference w:id="41"/>
      </w:r>
    </w:p>
    <w:p w14:paraId="7EDB559E" w14:textId="77777777" w:rsidR="00CB55CD" w:rsidRDefault="00CB55CD" w:rsidP="00CB55CD">
      <w:pPr>
        <w:pStyle w:val="Postquote"/>
      </w:pPr>
      <w:r>
        <w:t xml:space="preserve">It is difficult to ignore the unusually strong language:  consultation is an “intrinsic requirement” of the exercise of church authority.  </w:t>
      </w:r>
    </w:p>
    <w:p w14:paraId="3F70810A" w14:textId="77777777" w:rsidR="00CB55CD" w:rsidRDefault="00CB55CD" w:rsidP="00CB55CD">
      <w:r>
        <w:t xml:space="preserve">Progress in this area has been hampered in the decades since the council by the repeated reminder that the church is not a democracy.  Immediately the </w:t>
      </w:r>
      <w:r w:rsidR="001F62CD">
        <w:t>specter</w:t>
      </w:r>
      <w:r>
        <w:t xml:space="preserve"> is raised of </w:t>
      </w:r>
      <w:r w:rsidR="00B871EC">
        <w:t>ballot distribution</w:t>
      </w:r>
      <w:r>
        <w:t xml:space="preserve"> among the faithful to determine whether o</w:t>
      </w:r>
      <w:r w:rsidR="00B871EC">
        <w:t>r not to continue to teach the I</w:t>
      </w:r>
      <w:r>
        <w:t>ncarnation</w:t>
      </w:r>
      <w:r w:rsidR="00B871EC">
        <w:t>!</w:t>
      </w:r>
      <w:r>
        <w:t xml:space="preserve">  </w:t>
      </w:r>
      <w:r w:rsidR="000A78B0">
        <w:t xml:space="preserve">Of course, nothing could be further from the vision of the council.  I believe that one of the crucial projects needed to complete the council’s building site is the task, which must be undertaken at the level of institution and policy, to </w:t>
      </w:r>
      <w:r w:rsidR="00B871EC">
        <w:t>pursue something far more spiritually robust than a</w:t>
      </w:r>
      <w:r w:rsidR="000A78B0">
        <w:t xml:space="preserve"> liberal democracy</w:t>
      </w:r>
      <w:r w:rsidR="00B871EC">
        <w:t xml:space="preserve">;  the church must seek to become </w:t>
      </w:r>
      <w:r w:rsidR="000A78B0">
        <w:t>a community of holy discernment where Christian</w:t>
      </w:r>
      <w:r w:rsidR="00B871EC">
        <w:t>s</w:t>
      </w:r>
      <w:r w:rsidR="000A78B0">
        <w:t xml:space="preserve"> exhibit the </w:t>
      </w:r>
      <w:r w:rsidR="00B871EC">
        <w:t>courage</w:t>
      </w:r>
      <w:r w:rsidR="000A78B0">
        <w:t xml:space="preserve"> to set aside their own personal preferences in a disciplined exercise of listening to the echoes of the Word, reverberating in the life of the church </w:t>
      </w:r>
      <w:r w:rsidR="00B871EC">
        <w:t>through</w:t>
      </w:r>
      <w:r w:rsidR="000A78B0">
        <w:t xml:space="preserve"> the power of the Spirit.</w:t>
      </w:r>
      <w:r>
        <w:t xml:space="preserve"> </w:t>
      </w:r>
    </w:p>
    <w:p w14:paraId="5A13332C" w14:textId="56941D26" w:rsidR="00B871EC" w:rsidRPr="00CB55CD" w:rsidRDefault="00B871EC" w:rsidP="00CB55CD">
      <w:r>
        <w:t xml:space="preserve">And so the work must continue.  The council </w:t>
      </w:r>
      <w:r w:rsidR="00C57B05">
        <w:t xml:space="preserve">offered sturdy “pillars” that can serve as a strong foundation for a new “form” of the church, one that draws from the customs, practices and insights from our great Tradition, but which creatively re-works them in the </w:t>
      </w:r>
      <w:r w:rsidR="00F42D51">
        <w:t>construction</w:t>
      </w:r>
      <w:r w:rsidR="00C57B05">
        <w:t xml:space="preserve"> of an ecclesial form adequate to the demands of our church today. </w:t>
      </w:r>
      <w:r>
        <w:t xml:space="preserve"> </w:t>
      </w:r>
      <w:r w:rsidR="00C57B05">
        <w:t xml:space="preserve"> </w:t>
      </w:r>
      <w:r w:rsidR="000B65BF">
        <w:t xml:space="preserve">To complete Vatican II’s grand project we must redouble our efforts to encourage a </w:t>
      </w:r>
      <w:r>
        <w:t xml:space="preserve">theological and pastoral commitment to </w:t>
      </w:r>
      <w:r w:rsidR="001F62CD">
        <w:t xml:space="preserve">become a community of </w:t>
      </w:r>
      <w:r>
        <w:t>discipleship and discernment</w:t>
      </w:r>
      <w:r w:rsidR="000B65BF">
        <w:t xml:space="preserve">, for without that commitment our church will be ill equipped to face the challenges </w:t>
      </w:r>
      <w:r w:rsidR="001F62CD">
        <w:t>it faces today</w:t>
      </w:r>
      <w:r w:rsidR="000B65BF">
        <w:t xml:space="preserve">. </w:t>
      </w:r>
    </w:p>
    <w:p w14:paraId="2D9F1752" w14:textId="77777777" w:rsidR="00CB55CD" w:rsidRDefault="00CB55CD" w:rsidP="00CB55CD"/>
    <w:p w14:paraId="4B4E73B0" w14:textId="77777777" w:rsidR="00CB55CD" w:rsidRPr="00846F9C" w:rsidRDefault="00CB55CD" w:rsidP="00035F9D"/>
    <w:sectPr w:rsidR="00CB55CD" w:rsidRPr="00846F9C" w:rsidSect="00602FAF">
      <w:headerReference w:type="default" r:id="rId9"/>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22AE" w14:textId="77777777" w:rsidR="00786E2B" w:rsidRDefault="00786E2B">
      <w:r>
        <w:separator/>
      </w:r>
    </w:p>
  </w:endnote>
  <w:endnote w:type="continuationSeparator" w:id="0">
    <w:p w14:paraId="249EAC8E" w14:textId="77777777" w:rsidR="00786E2B" w:rsidRDefault="0078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0FBD" w14:textId="77777777" w:rsidR="00786E2B" w:rsidRDefault="00786E2B">
      <w:r>
        <w:separator/>
      </w:r>
    </w:p>
  </w:footnote>
  <w:footnote w:type="continuationSeparator" w:id="0">
    <w:p w14:paraId="3F4545C2" w14:textId="77777777" w:rsidR="00786E2B" w:rsidRDefault="00786E2B">
      <w:r>
        <w:continuationSeparator/>
      </w:r>
    </w:p>
  </w:footnote>
  <w:footnote w:id="1">
    <w:p w14:paraId="332B0994" w14:textId="77777777" w:rsidR="00C57B05" w:rsidRPr="00007C2F" w:rsidRDefault="00C57B05" w:rsidP="00972756">
      <w:pPr>
        <w:pStyle w:val="FootnoteText"/>
      </w:pPr>
      <w:r>
        <w:rPr>
          <w:rStyle w:val="FootnoteReference"/>
        </w:rPr>
        <w:footnoteRef/>
      </w:r>
      <w:r>
        <w:t xml:space="preserve"> Hermann J. </w:t>
      </w:r>
      <w:proofErr w:type="spellStart"/>
      <w:r>
        <w:t>Pottmeyer</w:t>
      </w:r>
      <w:proofErr w:type="spellEnd"/>
      <w:r>
        <w:t xml:space="preserve">, </w:t>
      </w:r>
      <w:r w:rsidRPr="00F42D51">
        <w:rPr>
          <w:i/>
        </w:rPr>
        <w:t>Towards a Papacy in Communion:  Perspectives from Vatican Councils I &amp; II</w:t>
      </w:r>
      <w:r>
        <w:t xml:space="preserve"> (New York:  Crossroad, 1998), 110.</w:t>
      </w:r>
    </w:p>
  </w:footnote>
  <w:footnote w:id="2">
    <w:p w14:paraId="151B4CFB" w14:textId="77777777" w:rsidR="00C57B05" w:rsidRPr="00E64E26" w:rsidRDefault="00C57B05" w:rsidP="00972756">
      <w:pPr>
        <w:pStyle w:val="FootnoteText"/>
      </w:pPr>
      <w:r>
        <w:rPr>
          <w:rStyle w:val="FootnoteReference"/>
        </w:rPr>
        <w:footnoteRef/>
      </w:r>
      <w:r>
        <w:t xml:space="preserve"> </w:t>
      </w:r>
      <w:proofErr w:type="spellStart"/>
      <w:r>
        <w:t>Ghislain</w:t>
      </w:r>
      <w:proofErr w:type="spellEnd"/>
      <w:r>
        <w:t xml:space="preserve"> </w:t>
      </w:r>
      <w:proofErr w:type="spellStart"/>
      <w:r>
        <w:t>Lafont</w:t>
      </w:r>
      <w:proofErr w:type="spellEnd"/>
      <w:r>
        <w:t xml:space="preserve">, </w:t>
      </w:r>
      <w:r w:rsidRPr="0070295C">
        <w:rPr>
          <w:i/>
        </w:rPr>
        <w:t>Imagining the Catholic Church:  Structured Communion in the Spirit</w:t>
      </w:r>
      <w:r>
        <w:t xml:space="preserve"> (Collegeville:  Liturgical Press, 2000), 37-64.</w:t>
      </w:r>
    </w:p>
  </w:footnote>
  <w:footnote w:id="3">
    <w:p w14:paraId="53650755" w14:textId="77777777" w:rsidR="00C57B05" w:rsidRDefault="00C57B05" w:rsidP="00972756">
      <w:pPr>
        <w:pStyle w:val="FootnoteText"/>
      </w:pPr>
      <w:r>
        <w:rPr>
          <w:rStyle w:val="FootnoteReference"/>
        </w:rPr>
        <w:footnoteRef/>
      </w:r>
      <w:r>
        <w:t xml:space="preserve"> Ibid</w:t>
      </w:r>
      <w:proofErr w:type="gramStart"/>
      <w:r>
        <w:t>.,</w:t>
      </w:r>
      <w:proofErr w:type="gramEnd"/>
      <w:r>
        <w:t xml:space="preserve"> 39. </w:t>
      </w:r>
    </w:p>
  </w:footnote>
  <w:footnote w:id="4">
    <w:p w14:paraId="65D73306" w14:textId="77777777" w:rsidR="00C57B05" w:rsidRPr="00FA7CFF" w:rsidRDefault="00C57B05" w:rsidP="00972756">
      <w:pPr>
        <w:pStyle w:val="FootnoteText"/>
      </w:pPr>
      <w:r>
        <w:rPr>
          <w:rStyle w:val="FootnoteReference"/>
        </w:rPr>
        <w:footnoteRef/>
      </w:r>
      <w:r>
        <w:t xml:space="preserve"> Richard R. Gaillardetz, </w:t>
      </w:r>
      <w:r>
        <w:rPr>
          <w:i/>
        </w:rPr>
        <w:t xml:space="preserve">Teaching with Authority:  A Theology of the Magisterium in the Church </w:t>
      </w:r>
      <w:r>
        <w:t>(Collegeville:  Liturgical Press, 1997), 247.</w:t>
      </w:r>
    </w:p>
  </w:footnote>
  <w:footnote w:id="5">
    <w:p w14:paraId="0BCD63A5" w14:textId="77777777" w:rsidR="00C57B05" w:rsidRDefault="00C57B05">
      <w:pPr>
        <w:pStyle w:val="FootnoteText"/>
      </w:pPr>
      <w:r>
        <w:rPr>
          <w:rStyle w:val="FootnoteReference"/>
        </w:rPr>
        <w:footnoteRef/>
      </w:r>
      <w:r>
        <w:t xml:space="preserve"> </w:t>
      </w:r>
      <w:proofErr w:type="gramStart"/>
      <w:r w:rsidRPr="00980F63">
        <w:rPr>
          <w:rFonts w:cstheme="minorHAnsi"/>
        </w:rPr>
        <w:t xml:space="preserve">See </w:t>
      </w:r>
      <w:r w:rsidRPr="00980F63">
        <w:rPr>
          <w:rFonts w:cstheme="minorHAnsi"/>
          <w:lang w:bidi="ar-SA"/>
        </w:rPr>
        <w:t xml:space="preserve">Margaret O'Gara and Michael </w:t>
      </w:r>
      <w:proofErr w:type="spellStart"/>
      <w:r w:rsidRPr="00980F63">
        <w:rPr>
          <w:rFonts w:cstheme="minorHAnsi"/>
          <w:lang w:bidi="ar-SA"/>
        </w:rPr>
        <w:t>Vertin</w:t>
      </w:r>
      <w:proofErr w:type="spellEnd"/>
      <w:r w:rsidRPr="00980F63">
        <w:rPr>
          <w:rFonts w:cstheme="minorHAnsi"/>
          <w:lang w:bidi="ar-SA"/>
        </w:rPr>
        <w:t xml:space="preserve">, "The Holy Spirit's Assistance to the Magisterium in Teaching," </w:t>
      </w:r>
      <w:r w:rsidRPr="00980F63">
        <w:rPr>
          <w:rFonts w:cstheme="minorHAnsi"/>
          <w:i/>
          <w:iCs/>
          <w:lang w:bidi="ar-SA"/>
        </w:rPr>
        <w:t xml:space="preserve">Catholic Theological Society of America Proceedings </w:t>
      </w:r>
      <w:r w:rsidRPr="000B65BF">
        <w:rPr>
          <w:rFonts w:cstheme="minorHAnsi"/>
          <w:bCs/>
          <w:iCs/>
          <w:lang w:bidi="ar-SA"/>
        </w:rPr>
        <w:t>51</w:t>
      </w:r>
      <w:r w:rsidRPr="00980F63">
        <w:rPr>
          <w:rFonts w:cstheme="minorHAnsi"/>
          <w:b/>
          <w:bCs/>
          <w:i/>
          <w:iCs/>
          <w:lang w:bidi="ar-SA"/>
        </w:rPr>
        <w:t xml:space="preserve"> </w:t>
      </w:r>
      <w:r>
        <w:rPr>
          <w:rFonts w:cstheme="minorHAnsi"/>
          <w:lang w:bidi="ar-SA"/>
        </w:rPr>
        <w:t>(1996) 125-42, at 128.</w:t>
      </w:r>
      <w:proofErr w:type="gramEnd"/>
    </w:p>
  </w:footnote>
  <w:footnote w:id="6">
    <w:p w14:paraId="61746B16" w14:textId="01E6FF5A" w:rsidR="00C57B05" w:rsidRPr="00235DD7" w:rsidRDefault="00C57B05" w:rsidP="00715F2C">
      <w:pPr>
        <w:pStyle w:val="FootnoteText"/>
      </w:pPr>
      <w:r>
        <w:rPr>
          <w:rStyle w:val="FootnoteReference"/>
        </w:rPr>
        <w:footnoteRef/>
      </w:r>
      <w:r>
        <w:t xml:space="preserve"> </w:t>
      </w:r>
      <w:r w:rsidR="00EF6757">
        <w:t xml:space="preserve">“Collective Declaration of the German Episcopate on the Circular of the Imperial German Chancellor concerning the Next Papal Election.” </w:t>
      </w:r>
      <w:r>
        <w:t xml:space="preserve">An English translation of </w:t>
      </w:r>
      <w:r w:rsidR="00EF6757">
        <w:t xml:space="preserve">this </w:t>
      </w:r>
      <w:r>
        <w:t xml:space="preserve">1875 statement of the German </w:t>
      </w:r>
      <w:r w:rsidR="00EF6757">
        <w:t>b</w:t>
      </w:r>
      <w:r>
        <w:t xml:space="preserve">ishops can be found in Hans </w:t>
      </w:r>
      <w:proofErr w:type="spellStart"/>
      <w:r>
        <w:t>Küng</w:t>
      </w:r>
      <w:proofErr w:type="spellEnd"/>
      <w:r>
        <w:t xml:space="preserve">, </w:t>
      </w:r>
      <w:r>
        <w:rPr>
          <w:i/>
        </w:rPr>
        <w:t xml:space="preserve">The Council and Reunion </w:t>
      </w:r>
      <w:r>
        <w:t xml:space="preserve">(London:  </w:t>
      </w:r>
      <w:proofErr w:type="spellStart"/>
      <w:r>
        <w:t>Sheed</w:t>
      </w:r>
      <w:proofErr w:type="spellEnd"/>
      <w:r>
        <w:t xml:space="preserve"> and Ward, 1961), 283-95. Newman’s response is found in his famous </w:t>
      </w:r>
      <w:r w:rsidRPr="00F42D51">
        <w:rPr>
          <w:rFonts w:cs="Helvetica Neue"/>
          <w:i/>
          <w:color w:val="262626"/>
          <w:szCs w:val="20"/>
          <w:lang w:bidi="ar-SA"/>
        </w:rPr>
        <w:t>A letter addressed t</w:t>
      </w:r>
      <w:r w:rsidRPr="002B2649">
        <w:rPr>
          <w:rFonts w:cs="Helvetica Neue"/>
          <w:i/>
          <w:color w:val="262626"/>
          <w:szCs w:val="20"/>
          <w:lang w:bidi="ar-SA"/>
        </w:rPr>
        <w:t>o His Grace the Duke of Norfolk</w:t>
      </w:r>
      <w:r w:rsidRPr="00F42D51">
        <w:rPr>
          <w:rFonts w:cs="Helvetica Neue"/>
          <w:i/>
          <w:color w:val="262626"/>
          <w:szCs w:val="20"/>
          <w:lang w:bidi="ar-SA"/>
        </w:rPr>
        <w:t>: on occasion of Mr. Gladstone's recent expostulation</w:t>
      </w:r>
      <w:r>
        <w:rPr>
          <w:rFonts w:cs="Helvetica Neue"/>
          <w:i/>
          <w:color w:val="262626"/>
          <w:szCs w:val="20"/>
          <w:lang w:bidi="ar-SA"/>
        </w:rPr>
        <w:t xml:space="preserve"> </w:t>
      </w:r>
      <w:r>
        <w:rPr>
          <w:rFonts w:cs="Helvetica Neue"/>
          <w:color w:val="262626"/>
          <w:szCs w:val="20"/>
          <w:lang w:bidi="ar-SA"/>
        </w:rPr>
        <w:t>(London:  B.M. Pickering, 1875).</w:t>
      </w:r>
    </w:p>
  </w:footnote>
  <w:footnote w:id="7">
    <w:p w14:paraId="4A3D0308" w14:textId="77777777" w:rsidR="00C57B05" w:rsidRPr="006F78E8" w:rsidRDefault="00C57B05">
      <w:pPr>
        <w:pStyle w:val="FootnoteText"/>
        <w:rPr>
          <w:i/>
        </w:rPr>
      </w:pPr>
      <w:r>
        <w:rPr>
          <w:rStyle w:val="FootnoteReference"/>
        </w:rPr>
        <w:footnoteRef/>
      </w:r>
      <w:r>
        <w:t xml:space="preserve"> </w:t>
      </w:r>
      <w:proofErr w:type="spellStart"/>
      <w:r>
        <w:rPr>
          <w:i/>
        </w:rPr>
        <w:t>Humani</w:t>
      </w:r>
      <w:proofErr w:type="spellEnd"/>
      <w:r>
        <w:rPr>
          <w:i/>
        </w:rPr>
        <w:t xml:space="preserve"> generis, </w:t>
      </w:r>
      <w:r>
        <w:t>20</w:t>
      </w:r>
      <w:r>
        <w:rPr>
          <w:i/>
        </w:rPr>
        <w:t>.</w:t>
      </w:r>
    </w:p>
  </w:footnote>
  <w:footnote w:id="8">
    <w:p w14:paraId="21AA3428" w14:textId="4FA3CC59" w:rsidR="00C57B05" w:rsidRDefault="00C57B05">
      <w:pPr>
        <w:pStyle w:val="FootnoteText"/>
      </w:pPr>
      <w:r>
        <w:rPr>
          <w:rStyle w:val="FootnoteReference"/>
        </w:rPr>
        <w:footnoteRef/>
      </w:r>
      <w:r>
        <w:t xml:space="preserve"> </w:t>
      </w:r>
      <w:proofErr w:type="spellStart"/>
      <w:r>
        <w:t>Alexandre</w:t>
      </w:r>
      <w:proofErr w:type="spellEnd"/>
      <w:r>
        <w:t xml:space="preserve">, </w:t>
      </w:r>
      <w:proofErr w:type="spellStart"/>
      <w:r>
        <w:t>Faivre</w:t>
      </w:r>
      <w:proofErr w:type="spellEnd"/>
      <w:r>
        <w:t xml:space="preserve">, </w:t>
      </w:r>
      <w:r w:rsidR="00EF6757" w:rsidRPr="00F42D51">
        <w:rPr>
          <w:i/>
          <w:color w:val="333333"/>
          <w:szCs w:val="20"/>
          <w:shd w:val="clear" w:color="auto" w:fill="FFFFFF"/>
        </w:rPr>
        <w:t xml:space="preserve">Les </w:t>
      </w:r>
      <w:proofErr w:type="spellStart"/>
      <w:r w:rsidR="00EF6757" w:rsidRPr="00F42D51">
        <w:rPr>
          <w:i/>
          <w:color w:val="333333"/>
          <w:szCs w:val="20"/>
          <w:shd w:val="clear" w:color="auto" w:fill="FFFFFF"/>
        </w:rPr>
        <w:t>laïcs</w:t>
      </w:r>
      <w:proofErr w:type="spellEnd"/>
      <w:r w:rsidR="00EF6757" w:rsidRPr="00F42D51">
        <w:rPr>
          <w:i/>
          <w:color w:val="333333"/>
          <w:szCs w:val="20"/>
          <w:shd w:val="clear" w:color="auto" w:fill="FFFFFF"/>
        </w:rPr>
        <w:t xml:space="preserve"> aux </w:t>
      </w:r>
      <w:proofErr w:type="spellStart"/>
      <w:r w:rsidR="00EF6757" w:rsidRPr="00F42D51">
        <w:rPr>
          <w:i/>
          <w:color w:val="333333"/>
          <w:szCs w:val="20"/>
          <w:shd w:val="clear" w:color="auto" w:fill="FFFFFF"/>
        </w:rPr>
        <w:t>origines</w:t>
      </w:r>
      <w:proofErr w:type="spellEnd"/>
      <w:r w:rsidR="00EF6757" w:rsidRPr="00F42D51">
        <w:rPr>
          <w:i/>
          <w:color w:val="333333"/>
          <w:szCs w:val="20"/>
          <w:shd w:val="clear" w:color="auto" w:fill="FFFFFF"/>
        </w:rPr>
        <w:t xml:space="preserve"> de </w:t>
      </w:r>
      <w:proofErr w:type="spellStart"/>
      <w:r w:rsidR="00EF6757" w:rsidRPr="00F42D51">
        <w:rPr>
          <w:i/>
          <w:color w:val="333333"/>
          <w:szCs w:val="20"/>
          <w:shd w:val="clear" w:color="auto" w:fill="FFFFFF"/>
        </w:rPr>
        <w:t>l'Eglise</w:t>
      </w:r>
      <w:proofErr w:type="spellEnd"/>
      <w:r w:rsidR="00EF6757">
        <w:rPr>
          <w:rFonts w:ascii="Helvetica Neue" w:hAnsi="Helvetica Neue"/>
          <w:color w:val="333333"/>
          <w:szCs w:val="20"/>
          <w:shd w:val="clear" w:color="auto" w:fill="FFFFFF"/>
        </w:rPr>
        <w:t xml:space="preserve"> </w:t>
      </w:r>
      <w:r w:rsidR="00EF32B2" w:rsidRPr="00F42D51">
        <w:rPr>
          <w:color w:val="333333"/>
          <w:szCs w:val="20"/>
          <w:shd w:val="clear" w:color="auto" w:fill="FFFFFF"/>
        </w:rPr>
        <w:t>(Paris:  Centurion, 1984) [ET:</w:t>
      </w:r>
      <w:r w:rsidR="00EF32B2">
        <w:rPr>
          <w:rFonts w:ascii="Helvetica Neue" w:hAnsi="Helvetica Neue"/>
          <w:color w:val="333333"/>
          <w:szCs w:val="20"/>
          <w:shd w:val="clear" w:color="auto" w:fill="FFFFFF"/>
        </w:rPr>
        <w:t xml:space="preserve">  </w:t>
      </w:r>
      <w:r w:rsidRPr="00F42D51">
        <w:rPr>
          <w:rFonts w:cs="Helvetica Neue"/>
          <w:i/>
          <w:color w:val="262626"/>
          <w:szCs w:val="20"/>
          <w:lang w:bidi="ar-SA"/>
        </w:rPr>
        <w:t>The Emergence of the Laity in the Early Church</w:t>
      </w:r>
      <w:r>
        <w:rPr>
          <w:rFonts w:ascii="Helvetica Neue" w:hAnsi="Helvetica Neue" w:cs="Helvetica Neue"/>
          <w:color w:val="262626"/>
          <w:sz w:val="26"/>
          <w:szCs w:val="26"/>
          <w:lang w:bidi="ar-SA"/>
        </w:rPr>
        <w:t xml:space="preserve"> </w:t>
      </w:r>
      <w:r w:rsidRPr="00F42D51">
        <w:rPr>
          <w:rFonts w:cs="Helvetica Neue"/>
          <w:color w:val="262626"/>
          <w:szCs w:val="20"/>
          <w:lang w:bidi="ar-SA"/>
        </w:rPr>
        <w:t xml:space="preserve">(New York:  </w:t>
      </w:r>
      <w:proofErr w:type="spellStart"/>
      <w:r w:rsidRPr="00F42D51">
        <w:rPr>
          <w:rFonts w:cs="Helvetica Neue"/>
          <w:color w:val="262626"/>
          <w:szCs w:val="20"/>
          <w:lang w:bidi="ar-SA"/>
        </w:rPr>
        <w:t>Paulist</w:t>
      </w:r>
      <w:proofErr w:type="spellEnd"/>
      <w:r w:rsidRPr="00F42D51">
        <w:rPr>
          <w:rFonts w:cs="Helvetica Neue"/>
          <w:color w:val="262626"/>
          <w:szCs w:val="20"/>
          <w:lang w:bidi="ar-SA"/>
        </w:rPr>
        <w:t>, 1990)</w:t>
      </w:r>
      <w:r w:rsidR="00EF32B2">
        <w:rPr>
          <w:rFonts w:cs="Helvetica Neue"/>
          <w:color w:val="262626"/>
          <w:szCs w:val="20"/>
          <w:lang w:bidi="ar-SA"/>
        </w:rPr>
        <w:t>]</w:t>
      </w:r>
      <w:r w:rsidRPr="00F42D51">
        <w:rPr>
          <w:rFonts w:cs="Helvetica Neue"/>
          <w:color w:val="262626"/>
          <w:szCs w:val="20"/>
          <w:lang w:bidi="ar-SA"/>
        </w:rPr>
        <w:t>.</w:t>
      </w:r>
    </w:p>
  </w:footnote>
  <w:footnote w:id="9">
    <w:p w14:paraId="199FABBD" w14:textId="77777777" w:rsidR="00C57B05" w:rsidRDefault="00C57B05" w:rsidP="00972756">
      <w:pPr>
        <w:pStyle w:val="FootnoteText"/>
        <w:rPr>
          <w:i/>
          <w:iCs/>
        </w:rPr>
      </w:pPr>
      <w:r>
        <w:rPr>
          <w:rStyle w:val="FootnoteReference"/>
        </w:rPr>
        <w:footnoteRef/>
      </w:r>
      <w:r>
        <w:t xml:space="preserve"> Ibid</w:t>
      </w:r>
      <w:proofErr w:type="gramStart"/>
      <w:r>
        <w:t>.,</w:t>
      </w:r>
      <w:proofErr w:type="gramEnd"/>
      <w:r>
        <w:t xml:space="preserve"> 216.  For further studies into the history and contemporary significance of the “minor orders” see Winfried </w:t>
      </w:r>
      <w:proofErr w:type="spellStart"/>
      <w:r>
        <w:t>Haunerland</w:t>
      </w:r>
      <w:proofErr w:type="spellEnd"/>
      <w:r>
        <w:t xml:space="preserve">, “The Heirs of the Clergy?  The New Pastoral Ministries and the Reform of the Minor Orders,” </w:t>
      </w:r>
      <w:r>
        <w:rPr>
          <w:i/>
          <w:iCs/>
        </w:rPr>
        <w:t xml:space="preserve">Worship </w:t>
      </w:r>
      <w:r>
        <w:t xml:space="preserve"> 75 (July, 2001):  305-20;  Bruno </w:t>
      </w:r>
      <w:proofErr w:type="spellStart"/>
      <w:r>
        <w:t>Kleinheyer</w:t>
      </w:r>
      <w:proofErr w:type="spellEnd"/>
      <w:r>
        <w:t>, “</w:t>
      </w:r>
      <w:proofErr w:type="spellStart"/>
      <w:r>
        <w:t>Ordinationen</w:t>
      </w:r>
      <w:proofErr w:type="spellEnd"/>
      <w:r>
        <w:t xml:space="preserve"> und </w:t>
      </w:r>
      <w:proofErr w:type="spellStart"/>
      <w:r>
        <w:t>Beauftragungen</w:t>
      </w:r>
      <w:proofErr w:type="spellEnd"/>
      <w:r>
        <w:t xml:space="preserve">,” in </w:t>
      </w:r>
      <w:proofErr w:type="spellStart"/>
      <w:r>
        <w:rPr>
          <w:i/>
          <w:iCs/>
        </w:rPr>
        <w:t>Sakramentliche</w:t>
      </w:r>
      <w:proofErr w:type="spellEnd"/>
      <w:r>
        <w:rPr>
          <w:i/>
          <w:iCs/>
        </w:rPr>
        <w:t xml:space="preserve"> </w:t>
      </w:r>
      <w:proofErr w:type="spellStart"/>
      <w:r>
        <w:rPr>
          <w:i/>
          <w:iCs/>
        </w:rPr>
        <w:t>Feiern</w:t>
      </w:r>
      <w:proofErr w:type="spellEnd"/>
      <w:r>
        <w:rPr>
          <w:i/>
          <w:iCs/>
        </w:rPr>
        <w:t xml:space="preserve"> II, </w:t>
      </w:r>
      <w:proofErr w:type="spellStart"/>
      <w:r>
        <w:rPr>
          <w:i/>
          <w:iCs/>
        </w:rPr>
        <w:t>Gottesdienst</w:t>
      </w:r>
      <w:proofErr w:type="spellEnd"/>
      <w:r>
        <w:rPr>
          <w:i/>
          <w:iCs/>
        </w:rPr>
        <w:t xml:space="preserve"> der </w:t>
      </w:r>
      <w:proofErr w:type="spellStart"/>
      <w:r>
        <w:rPr>
          <w:i/>
          <w:iCs/>
        </w:rPr>
        <w:t>Kirche</w:t>
      </w:r>
      <w:proofErr w:type="spellEnd"/>
      <w:r>
        <w:rPr>
          <w:i/>
          <w:iCs/>
        </w:rPr>
        <w:t xml:space="preserve">, </w:t>
      </w:r>
      <w:r>
        <w:t xml:space="preserve">vol. 8, edited by Emmanuel v. Severus and Reiner Kaczynski (Regensburg:  </w:t>
      </w:r>
      <w:proofErr w:type="spellStart"/>
      <w:r>
        <w:t>Pustet</w:t>
      </w:r>
      <w:proofErr w:type="spellEnd"/>
      <w:r>
        <w:t xml:space="preserve">, 1984), 7-65;  Walter Croce, “Die </w:t>
      </w:r>
      <w:proofErr w:type="spellStart"/>
      <w:r>
        <w:t>niederen</w:t>
      </w:r>
      <w:proofErr w:type="spellEnd"/>
      <w:r>
        <w:t xml:space="preserve"> </w:t>
      </w:r>
      <w:proofErr w:type="spellStart"/>
      <w:r>
        <w:t>Weihen</w:t>
      </w:r>
      <w:proofErr w:type="spellEnd"/>
      <w:r>
        <w:t xml:space="preserve"> und </w:t>
      </w:r>
      <w:proofErr w:type="spellStart"/>
      <w:r>
        <w:t>ihre</w:t>
      </w:r>
      <w:proofErr w:type="spellEnd"/>
      <w:r>
        <w:t xml:space="preserve"> </w:t>
      </w:r>
      <w:proofErr w:type="spellStart"/>
      <w:r>
        <w:t>hierarchische</w:t>
      </w:r>
      <w:proofErr w:type="spellEnd"/>
      <w:r>
        <w:t xml:space="preserve"> </w:t>
      </w:r>
      <w:proofErr w:type="spellStart"/>
      <w:r>
        <w:t>Wertung</w:t>
      </w:r>
      <w:proofErr w:type="spellEnd"/>
      <w:r>
        <w:t xml:space="preserve">,” </w:t>
      </w:r>
      <w:proofErr w:type="spellStart"/>
      <w:r>
        <w:rPr>
          <w:i/>
          <w:iCs/>
        </w:rPr>
        <w:t>Zeitschrift</w:t>
      </w:r>
      <w:proofErr w:type="spellEnd"/>
      <w:r>
        <w:rPr>
          <w:i/>
          <w:iCs/>
        </w:rPr>
        <w:t xml:space="preserve"> </w:t>
      </w:r>
      <w:proofErr w:type="spellStart"/>
      <w:r>
        <w:rPr>
          <w:i/>
          <w:iCs/>
        </w:rPr>
        <w:t>für</w:t>
      </w:r>
      <w:proofErr w:type="spellEnd"/>
      <w:r>
        <w:rPr>
          <w:i/>
          <w:iCs/>
        </w:rPr>
        <w:t xml:space="preserve"> </w:t>
      </w:r>
      <w:proofErr w:type="spellStart"/>
      <w:r>
        <w:rPr>
          <w:i/>
          <w:iCs/>
        </w:rPr>
        <w:t>katholische</w:t>
      </w:r>
      <w:proofErr w:type="spellEnd"/>
      <w:r>
        <w:rPr>
          <w:i/>
          <w:iCs/>
        </w:rPr>
        <w:t xml:space="preserve"> </w:t>
      </w:r>
      <w:proofErr w:type="spellStart"/>
      <w:r>
        <w:rPr>
          <w:i/>
          <w:iCs/>
        </w:rPr>
        <w:t>Theologie</w:t>
      </w:r>
      <w:proofErr w:type="spellEnd"/>
      <w:r>
        <w:rPr>
          <w:i/>
          <w:iCs/>
        </w:rPr>
        <w:t xml:space="preserve"> </w:t>
      </w:r>
      <w:r>
        <w:t xml:space="preserve"> 70 (1948):  257-314:  .</w:t>
      </w:r>
    </w:p>
  </w:footnote>
  <w:footnote w:id="10">
    <w:p w14:paraId="1D8C36E5" w14:textId="249CE290" w:rsidR="00C57B05" w:rsidRDefault="00C57B05">
      <w:pPr>
        <w:pStyle w:val="FootnoteText"/>
      </w:pPr>
      <w:r>
        <w:rPr>
          <w:rStyle w:val="FootnoteReference"/>
        </w:rPr>
        <w:footnoteRef/>
      </w:r>
      <w:r>
        <w:t xml:space="preserve"> The classic study of this shift in the theology of the Eucharist and its implications for ecclesiology is Henri de </w:t>
      </w:r>
      <w:proofErr w:type="spellStart"/>
      <w:r>
        <w:t>Lubac</w:t>
      </w:r>
      <w:proofErr w:type="spellEnd"/>
      <w:r>
        <w:t xml:space="preserve">, </w:t>
      </w:r>
      <w:r w:rsidR="00EF32B2" w:rsidRPr="00F42D51">
        <w:rPr>
          <w:rStyle w:val="searchword"/>
          <w:i/>
          <w:color w:val="333333"/>
          <w:szCs w:val="20"/>
          <w:bdr w:val="none" w:sz="0" w:space="0" w:color="auto" w:frame="1"/>
          <w:shd w:val="clear" w:color="auto" w:fill="FFFBC3"/>
        </w:rPr>
        <w:t>Corpus</w:t>
      </w:r>
      <w:r w:rsidR="00EF32B2" w:rsidRPr="00F42D51">
        <w:rPr>
          <w:rStyle w:val="apple-converted-space"/>
          <w:i/>
          <w:color w:val="333333"/>
          <w:szCs w:val="20"/>
          <w:shd w:val="clear" w:color="auto" w:fill="FFFFFF"/>
        </w:rPr>
        <w:t> </w:t>
      </w:r>
      <w:proofErr w:type="spellStart"/>
      <w:r w:rsidR="00EF32B2" w:rsidRPr="00F42D51">
        <w:rPr>
          <w:rStyle w:val="searchword"/>
          <w:i/>
          <w:color w:val="333333"/>
          <w:szCs w:val="20"/>
          <w:bdr w:val="none" w:sz="0" w:space="0" w:color="auto" w:frame="1"/>
          <w:shd w:val="clear" w:color="auto" w:fill="FFFBC3"/>
        </w:rPr>
        <w:t>mysticum</w:t>
      </w:r>
      <w:proofErr w:type="spellEnd"/>
      <w:r w:rsidR="00EF32B2" w:rsidRPr="00F42D51">
        <w:rPr>
          <w:i/>
          <w:color w:val="333333"/>
          <w:szCs w:val="20"/>
          <w:shd w:val="clear" w:color="auto" w:fill="FFFFFF"/>
        </w:rPr>
        <w:t xml:space="preserve">: </w:t>
      </w:r>
      <w:proofErr w:type="spellStart"/>
      <w:r w:rsidR="00EF32B2" w:rsidRPr="00F42D51">
        <w:rPr>
          <w:i/>
          <w:color w:val="333333"/>
          <w:szCs w:val="20"/>
          <w:shd w:val="clear" w:color="auto" w:fill="FFFFFF"/>
        </w:rPr>
        <w:t>l'eucharistie</w:t>
      </w:r>
      <w:proofErr w:type="spellEnd"/>
      <w:r w:rsidR="00EF32B2" w:rsidRPr="00F42D51">
        <w:rPr>
          <w:i/>
          <w:color w:val="333333"/>
          <w:szCs w:val="20"/>
          <w:shd w:val="clear" w:color="auto" w:fill="FFFFFF"/>
        </w:rPr>
        <w:t xml:space="preserve"> </w:t>
      </w:r>
      <w:proofErr w:type="gramStart"/>
      <w:r w:rsidR="00EF32B2" w:rsidRPr="00F42D51">
        <w:rPr>
          <w:i/>
          <w:color w:val="333333"/>
          <w:szCs w:val="20"/>
          <w:shd w:val="clear" w:color="auto" w:fill="FFFFFF"/>
        </w:rPr>
        <w:t>et</w:t>
      </w:r>
      <w:proofErr w:type="gramEnd"/>
      <w:r w:rsidR="00EF32B2" w:rsidRPr="00F42D51">
        <w:rPr>
          <w:i/>
          <w:color w:val="333333"/>
          <w:szCs w:val="20"/>
          <w:shd w:val="clear" w:color="auto" w:fill="FFFFFF"/>
        </w:rPr>
        <w:t xml:space="preserve"> </w:t>
      </w:r>
      <w:proofErr w:type="spellStart"/>
      <w:r w:rsidR="00EF32B2" w:rsidRPr="00F42D51">
        <w:rPr>
          <w:i/>
          <w:color w:val="333333"/>
          <w:szCs w:val="20"/>
          <w:shd w:val="clear" w:color="auto" w:fill="FFFFFF"/>
        </w:rPr>
        <w:t>l'Église</w:t>
      </w:r>
      <w:proofErr w:type="spellEnd"/>
      <w:r w:rsidR="00EF32B2" w:rsidRPr="00F42D51">
        <w:rPr>
          <w:i/>
          <w:color w:val="333333"/>
          <w:szCs w:val="20"/>
          <w:shd w:val="clear" w:color="auto" w:fill="FFFFFF"/>
        </w:rPr>
        <w:t xml:space="preserve"> au </w:t>
      </w:r>
      <w:proofErr w:type="spellStart"/>
      <w:r w:rsidR="00EF32B2" w:rsidRPr="00F42D51">
        <w:rPr>
          <w:i/>
          <w:color w:val="333333"/>
          <w:szCs w:val="20"/>
          <w:shd w:val="clear" w:color="auto" w:fill="FFFFFF"/>
        </w:rPr>
        <w:t>Moyen</w:t>
      </w:r>
      <w:proofErr w:type="spellEnd"/>
      <w:r w:rsidR="00EF32B2" w:rsidRPr="00F42D51">
        <w:rPr>
          <w:i/>
          <w:color w:val="333333"/>
          <w:szCs w:val="20"/>
          <w:shd w:val="clear" w:color="auto" w:fill="FFFFFF"/>
        </w:rPr>
        <w:t xml:space="preserve"> </w:t>
      </w:r>
      <w:proofErr w:type="spellStart"/>
      <w:r w:rsidR="00EF32B2" w:rsidRPr="00F42D51">
        <w:rPr>
          <w:i/>
          <w:color w:val="333333"/>
          <w:szCs w:val="20"/>
          <w:shd w:val="clear" w:color="auto" w:fill="FFFFFF"/>
        </w:rPr>
        <w:t>âge</w:t>
      </w:r>
      <w:proofErr w:type="spellEnd"/>
      <w:r w:rsidR="00EF32B2" w:rsidRPr="00F42D51">
        <w:rPr>
          <w:i/>
          <w:color w:val="333333"/>
          <w:szCs w:val="20"/>
          <w:shd w:val="clear" w:color="auto" w:fill="FFFFFF"/>
        </w:rPr>
        <w:t xml:space="preserve">. </w:t>
      </w:r>
      <w:proofErr w:type="spellStart"/>
      <w:r w:rsidR="00EF32B2" w:rsidRPr="00F42D51">
        <w:rPr>
          <w:i/>
          <w:color w:val="333333"/>
          <w:szCs w:val="20"/>
          <w:shd w:val="clear" w:color="auto" w:fill="FFFFFF"/>
        </w:rPr>
        <w:t>Étude</w:t>
      </w:r>
      <w:proofErr w:type="spellEnd"/>
      <w:r w:rsidR="00EF32B2" w:rsidRPr="00F42D51">
        <w:rPr>
          <w:i/>
          <w:color w:val="333333"/>
          <w:szCs w:val="20"/>
          <w:shd w:val="clear" w:color="auto" w:fill="FFFFFF"/>
        </w:rPr>
        <w:t xml:space="preserve"> </w:t>
      </w:r>
      <w:proofErr w:type="spellStart"/>
      <w:r w:rsidR="00EF32B2" w:rsidRPr="00F42D51">
        <w:rPr>
          <w:i/>
          <w:color w:val="333333"/>
          <w:szCs w:val="20"/>
          <w:shd w:val="clear" w:color="auto" w:fill="FFFFFF"/>
        </w:rPr>
        <w:t>historique</w:t>
      </w:r>
      <w:proofErr w:type="spellEnd"/>
      <w:r w:rsidR="00EF32B2">
        <w:rPr>
          <w:rFonts w:ascii="Helvetica Neue" w:hAnsi="Helvetica Neue"/>
          <w:color w:val="333333"/>
          <w:szCs w:val="20"/>
          <w:shd w:val="clear" w:color="auto" w:fill="FFFFFF"/>
        </w:rPr>
        <w:t xml:space="preserve"> </w:t>
      </w:r>
      <w:r w:rsidR="00EF32B2" w:rsidRPr="00F42D51">
        <w:rPr>
          <w:color w:val="333333"/>
          <w:szCs w:val="20"/>
          <w:shd w:val="clear" w:color="auto" w:fill="FFFFFF"/>
        </w:rPr>
        <w:t xml:space="preserve">(Paris:  </w:t>
      </w:r>
      <w:proofErr w:type="spellStart"/>
      <w:r w:rsidR="00EF32B2" w:rsidRPr="00F42D51">
        <w:rPr>
          <w:color w:val="333333"/>
          <w:szCs w:val="20"/>
          <w:shd w:val="clear" w:color="auto" w:fill="FFFFFF"/>
        </w:rPr>
        <w:t>Aubier</w:t>
      </w:r>
      <w:proofErr w:type="spellEnd"/>
      <w:r w:rsidR="00EF32B2" w:rsidRPr="00F42D51">
        <w:rPr>
          <w:color w:val="333333"/>
          <w:szCs w:val="20"/>
          <w:shd w:val="clear" w:color="auto" w:fill="FFFFFF"/>
        </w:rPr>
        <w:t>, 1949) [ET:</w:t>
      </w:r>
      <w:r w:rsidR="00EF32B2">
        <w:rPr>
          <w:rFonts w:ascii="Helvetica Neue" w:hAnsi="Helvetica Neue"/>
          <w:color w:val="333333"/>
          <w:szCs w:val="20"/>
          <w:shd w:val="clear" w:color="auto" w:fill="FFFFFF"/>
        </w:rPr>
        <w:t xml:space="preserve">  </w:t>
      </w:r>
      <w:r w:rsidRPr="00F42D51">
        <w:rPr>
          <w:rFonts w:cs="Helvetica Neue"/>
          <w:i/>
          <w:color w:val="262626"/>
          <w:szCs w:val="20"/>
          <w:lang w:bidi="ar-SA"/>
        </w:rPr>
        <w:t xml:space="preserve">Corpus </w:t>
      </w:r>
      <w:proofErr w:type="spellStart"/>
      <w:proofErr w:type="gramStart"/>
      <w:r w:rsidRPr="00F42D51">
        <w:rPr>
          <w:rFonts w:cs="Helvetica Neue"/>
          <w:i/>
          <w:color w:val="262626"/>
          <w:szCs w:val="20"/>
          <w:lang w:bidi="ar-SA"/>
        </w:rPr>
        <w:t>Mysticum</w:t>
      </w:r>
      <w:proofErr w:type="spellEnd"/>
      <w:r w:rsidRPr="00F42D51">
        <w:rPr>
          <w:rFonts w:cs="Helvetica Neue"/>
          <w:i/>
          <w:color w:val="262626"/>
          <w:szCs w:val="20"/>
          <w:lang w:bidi="ar-SA"/>
        </w:rPr>
        <w:t xml:space="preserve"> :</w:t>
      </w:r>
      <w:proofErr w:type="gramEnd"/>
      <w:r w:rsidRPr="00F42D51">
        <w:rPr>
          <w:rFonts w:cs="Helvetica Neue"/>
          <w:i/>
          <w:color w:val="262626"/>
          <w:szCs w:val="20"/>
          <w:lang w:bidi="ar-SA"/>
        </w:rPr>
        <w:t xml:space="preserve"> the Eucharist and the Church in the Middle Ages : Historical Survey</w:t>
      </w:r>
      <w:r w:rsidRPr="00F42D51">
        <w:rPr>
          <w:rFonts w:cs="Helvetica Neue"/>
          <w:color w:val="262626"/>
          <w:szCs w:val="20"/>
          <w:lang w:bidi="ar-SA"/>
        </w:rPr>
        <w:t xml:space="preserve"> (Notre Dame:  University of Notre Dame Press, 2006)</w:t>
      </w:r>
      <w:r w:rsidR="00EF32B2">
        <w:rPr>
          <w:rFonts w:cs="Helvetica Neue"/>
          <w:color w:val="262626"/>
          <w:szCs w:val="20"/>
          <w:lang w:bidi="ar-SA"/>
        </w:rPr>
        <w:t>]</w:t>
      </w:r>
      <w:r w:rsidRPr="00F42D51">
        <w:rPr>
          <w:rFonts w:cs="Helvetica Neue"/>
          <w:color w:val="262626"/>
          <w:szCs w:val="20"/>
          <w:lang w:bidi="ar-SA"/>
        </w:rPr>
        <w:t>.</w:t>
      </w:r>
    </w:p>
  </w:footnote>
  <w:footnote w:id="11">
    <w:p w14:paraId="2722C2BD" w14:textId="4C305C94" w:rsidR="00C57B05" w:rsidRDefault="00C57B05">
      <w:pPr>
        <w:pStyle w:val="FootnoteText"/>
      </w:pPr>
      <w:r>
        <w:rPr>
          <w:rStyle w:val="FootnoteReference"/>
        </w:rPr>
        <w:footnoteRef/>
      </w:r>
      <w:r>
        <w:t xml:space="preserve">  </w:t>
      </w:r>
      <w:r w:rsidR="00EF32B2">
        <w:t xml:space="preserve">Laurent </w:t>
      </w:r>
      <w:proofErr w:type="spellStart"/>
      <w:r w:rsidR="00EF32B2">
        <w:t>Villemin</w:t>
      </w:r>
      <w:proofErr w:type="spellEnd"/>
      <w:r w:rsidR="00EF32B2">
        <w:t xml:space="preserve">, </w:t>
      </w:r>
      <w:proofErr w:type="spellStart"/>
      <w:r w:rsidR="00EF32B2" w:rsidRPr="00F42D51">
        <w:rPr>
          <w:i/>
        </w:rPr>
        <w:t>Pouvoir</w:t>
      </w:r>
      <w:proofErr w:type="spellEnd"/>
      <w:r w:rsidR="00EF32B2" w:rsidRPr="00F42D51">
        <w:rPr>
          <w:i/>
        </w:rPr>
        <w:t xml:space="preserve"> </w:t>
      </w:r>
      <w:proofErr w:type="spellStart"/>
      <w:r w:rsidR="00EF32B2" w:rsidRPr="00F42D51">
        <w:rPr>
          <w:i/>
        </w:rPr>
        <w:t>d’ordre</w:t>
      </w:r>
      <w:proofErr w:type="spellEnd"/>
      <w:r w:rsidR="00EF32B2" w:rsidRPr="00F42D51">
        <w:rPr>
          <w:i/>
        </w:rPr>
        <w:t xml:space="preserve"> </w:t>
      </w:r>
      <w:proofErr w:type="gramStart"/>
      <w:r w:rsidR="00EF32B2" w:rsidRPr="00F42D51">
        <w:rPr>
          <w:i/>
        </w:rPr>
        <w:t>et</w:t>
      </w:r>
      <w:proofErr w:type="gramEnd"/>
      <w:r w:rsidR="00EF32B2" w:rsidRPr="00F42D51">
        <w:rPr>
          <w:i/>
        </w:rPr>
        <w:t xml:space="preserve"> </w:t>
      </w:r>
      <w:proofErr w:type="spellStart"/>
      <w:r w:rsidR="00EF32B2" w:rsidRPr="00F42D51">
        <w:rPr>
          <w:i/>
        </w:rPr>
        <w:t>pouvoir</w:t>
      </w:r>
      <w:proofErr w:type="spellEnd"/>
      <w:r w:rsidR="00EF32B2" w:rsidRPr="00F42D51">
        <w:rPr>
          <w:i/>
        </w:rPr>
        <w:t xml:space="preserve"> de jurisdiction:  Histoire </w:t>
      </w:r>
      <w:proofErr w:type="spellStart"/>
      <w:r w:rsidR="00EF32B2" w:rsidRPr="00F42D51">
        <w:rPr>
          <w:i/>
        </w:rPr>
        <w:t>théologique</w:t>
      </w:r>
      <w:proofErr w:type="spellEnd"/>
      <w:r w:rsidR="00EF32B2" w:rsidRPr="00F42D51">
        <w:rPr>
          <w:i/>
        </w:rPr>
        <w:t xml:space="preserve"> de </w:t>
      </w:r>
      <w:proofErr w:type="spellStart"/>
      <w:r w:rsidR="00EF32B2" w:rsidRPr="00F42D51">
        <w:rPr>
          <w:i/>
        </w:rPr>
        <w:t>leur</w:t>
      </w:r>
      <w:proofErr w:type="spellEnd"/>
      <w:r w:rsidR="00EF32B2" w:rsidRPr="00F42D51">
        <w:rPr>
          <w:i/>
        </w:rPr>
        <w:t xml:space="preserve"> distinction</w:t>
      </w:r>
      <w:r w:rsidR="00EF32B2">
        <w:t xml:space="preserve"> </w:t>
      </w:r>
      <w:r w:rsidR="008A2F96">
        <w:t>(Paris:  Cerf, 2003).</w:t>
      </w:r>
    </w:p>
  </w:footnote>
  <w:footnote w:id="12">
    <w:p w14:paraId="7B959470" w14:textId="77777777" w:rsidR="00C57B05" w:rsidRDefault="00C57B05" w:rsidP="00972756">
      <w:pPr>
        <w:pStyle w:val="FootnoteText"/>
      </w:pPr>
      <w:r>
        <w:rPr>
          <w:rStyle w:val="FootnoteReference"/>
        </w:rPr>
        <w:footnoteRef/>
      </w:r>
      <w:r>
        <w:t xml:space="preserve"> Maurice Vidal, “</w:t>
      </w:r>
      <w:proofErr w:type="spellStart"/>
      <w:r>
        <w:t>Presbyterat</w:t>
      </w:r>
      <w:proofErr w:type="spellEnd"/>
      <w:r>
        <w:t xml:space="preserve">,” </w:t>
      </w:r>
      <w:proofErr w:type="spellStart"/>
      <w:r>
        <w:rPr>
          <w:i/>
          <w:iCs/>
        </w:rPr>
        <w:t>Dictionnaire</w:t>
      </w:r>
      <w:proofErr w:type="spellEnd"/>
      <w:r>
        <w:rPr>
          <w:i/>
          <w:iCs/>
        </w:rPr>
        <w:t xml:space="preserve"> de </w:t>
      </w:r>
      <w:proofErr w:type="spellStart"/>
      <w:r>
        <w:rPr>
          <w:i/>
          <w:iCs/>
        </w:rPr>
        <w:t>spiritualité</w:t>
      </w:r>
      <w:proofErr w:type="spellEnd"/>
      <w:r>
        <w:rPr>
          <w:i/>
          <w:iCs/>
        </w:rPr>
        <w:t xml:space="preserve">, </w:t>
      </w:r>
      <w:r>
        <w:t xml:space="preserve">(Paris:  </w:t>
      </w:r>
      <w:proofErr w:type="spellStart"/>
      <w:r>
        <w:t>Beauchesne</w:t>
      </w:r>
      <w:proofErr w:type="spellEnd"/>
      <w:r>
        <w:t>, 1985), 2093-4.</w:t>
      </w:r>
    </w:p>
  </w:footnote>
  <w:footnote w:id="13">
    <w:p w14:paraId="346C8D57" w14:textId="77777777" w:rsidR="00C57B05" w:rsidRDefault="00C57B05" w:rsidP="00972756">
      <w:pPr>
        <w:pStyle w:val="FootnoteText"/>
      </w:pPr>
      <w:r>
        <w:rPr>
          <w:rStyle w:val="FootnoteReference"/>
        </w:rPr>
        <w:footnoteRef/>
      </w:r>
      <w:r>
        <w:t xml:space="preserve"> Abbot Columba </w:t>
      </w:r>
      <w:proofErr w:type="spellStart"/>
      <w:r>
        <w:t>Marmion</w:t>
      </w:r>
      <w:proofErr w:type="spellEnd"/>
      <w:r>
        <w:t xml:space="preserve">, </w:t>
      </w:r>
      <w:r>
        <w:rPr>
          <w:i/>
          <w:iCs/>
        </w:rPr>
        <w:t xml:space="preserve">Christ—The Ideal of the Priest </w:t>
      </w:r>
      <w:r>
        <w:t>(St. Louis:  Herder, 1952).</w:t>
      </w:r>
    </w:p>
  </w:footnote>
  <w:footnote w:id="14">
    <w:p w14:paraId="4AD8DB1B" w14:textId="759F0FC0" w:rsidR="00C57B05" w:rsidRDefault="00C57B05">
      <w:pPr>
        <w:pStyle w:val="FootnoteText"/>
      </w:pPr>
      <w:r>
        <w:rPr>
          <w:rStyle w:val="FootnoteReference"/>
        </w:rPr>
        <w:footnoteRef/>
      </w:r>
      <w:r>
        <w:t xml:space="preserve"> I have largely followed the basic outlines of </w:t>
      </w:r>
      <w:proofErr w:type="spellStart"/>
      <w:r>
        <w:t>Lafont’s</w:t>
      </w:r>
      <w:proofErr w:type="spellEnd"/>
      <w:r>
        <w:t xml:space="preserve"> critique but one could argue for at least three further pillars in the Gregorian form, 1) a mechanistic, baroque theology of the sacraments and sacramental grace; 2) a siege mentality in the church’s engagement with the world; 3) a triumphalist tone that refused to grant any real grace or truth beyond the boundaries of the church.  However, these three additional pillars cannot be developed within the limits of this essay.  </w:t>
      </w:r>
    </w:p>
  </w:footnote>
  <w:footnote w:id="15">
    <w:p w14:paraId="7C5A6728" w14:textId="77777777" w:rsidR="00C57B05" w:rsidRDefault="00C57B05">
      <w:pPr>
        <w:pStyle w:val="FootnoteText"/>
      </w:pPr>
      <w:r>
        <w:rPr>
          <w:rStyle w:val="FootnoteReference"/>
        </w:rPr>
        <w:footnoteRef/>
      </w:r>
      <w:r>
        <w:t xml:space="preserve"> At this point I am departing from </w:t>
      </w:r>
      <w:proofErr w:type="spellStart"/>
      <w:r>
        <w:t>Pottmeyer’s</w:t>
      </w:r>
      <w:proofErr w:type="spellEnd"/>
      <w:r>
        <w:t xml:space="preserve"> development of the metaphor; he offered a somewhat different account of the “pillar” teachings of the council.</w:t>
      </w:r>
    </w:p>
  </w:footnote>
  <w:footnote w:id="16">
    <w:p w14:paraId="33346D42" w14:textId="28828C41" w:rsidR="00C57B05" w:rsidRPr="004C06A4" w:rsidRDefault="00C57B05" w:rsidP="00972756">
      <w:pPr>
        <w:pStyle w:val="FootnoteText"/>
      </w:pPr>
      <w:r>
        <w:rPr>
          <w:rStyle w:val="FootnoteReference"/>
        </w:rPr>
        <w:footnoteRef/>
      </w:r>
      <w:r>
        <w:t xml:space="preserve"> See, especially, </w:t>
      </w:r>
      <w:proofErr w:type="spellStart"/>
      <w:r>
        <w:t>Christoph</w:t>
      </w:r>
      <w:proofErr w:type="spellEnd"/>
      <w:r>
        <w:t xml:space="preserve"> </w:t>
      </w:r>
      <w:proofErr w:type="spellStart"/>
      <w:r>
        <w:t>Theolbald</w:t>
      </w:r>
      <w:proofErr w:type="spellEnd"/>
      <w:r>
        <w:t xml:space="preserve">, </w:t>
      </w:r>
      <w:r>
        <w:rPr>
          <w:i/>
        </w:rPr>
        <w:t>“</w:t>
      </w:r>
      <w:proofErr w:type="spellStart"/>
      <w:r>
        <w:rPr>
          <w:i/>
        </w:rPr>
        <w:t>Dans</w:t>
      </w:r>
      <w:proofErr w:type="spellEnd"/>
      <w:r>
        <w:rPr>
          <w:i/>
        </w:rPr>
        <w:t xml:space="preserve"> les traces…” de la constitution “Dei Verbum” du </w:t>
      </w:r>
      <w:proofErr w:type="spellStart"/>
      <w:r>
        <w:rPr>
          <w:i/>
        </w:rPr>
        <w:t>concile</w:t>
      </w:r>
      <w:proofErr w:type="spellEnd"/>
      <w:r>
        <w:rPr>
          <w:i/>
        </w:rPr>
        <w:t xml:space="preserve"> Vatican II.  Bible, </w:t>
      </w:r>
      <w:proofErr w:type="spellStart"/>
      <w:r>
        <w:rPr>
          <w:i/>
        </w:rPr>
        <w:t>théologie</w:t>
      </w:r>
      <w:proofErr w:type="spellEnd"/>
      <w:r>
        <w:rPr>
          <w:i/>
        </w:rPr>
        <w:t xml:space="preserve"> et </w:t>
      </w:r>
      <w:proofErr w:type="spellStart"/>
      <w:r>
        <w:rPr>
          <w:i/>
        </w:rPr>
        <w:t>pratiques</w:t>
      </w:r>
      <w:proofErr w:type="spellEnd"/>
      <w:r>
        <w:rPr>
          <w:i/>
        </w:rPr>
        <w:t xml:space="preserve"> de lecture </w:t>
      </w:r>
      <w:r>
        <w:t>(Paris:  Cerf, 2009)</w:t>
      </w:r>
      <w:proofErr w:type="gramStart"/>
      <w:r>
        <w:t xml:space="preserve">;  </w:t>
      </w:r>
      <w:r w:rsidRPr="00F42D51">
        <w:rPr>
          <w:i/>
        </w:rPr>
        <w:t>idem</w:t>
      </w:r>
      <w:proofErr w:type="gramEnd"/>
      <w:r>
        <w:t xml:space="preserve">, </w:t>
      </w:r>
      <w:r>
        <w:rPr>
          <w:i/>
        </w:rPr>
        <w:t xml:space="preserve">La reception du </w:t>
      </w:r>
      <w:proofErr w:type="spellStart"/>
      <w:r>
        <w:rPr>
          <w:i/>
        </w:rPr>
        <w:t>concilie</w:t>
      </w:r>
      <w:proofErr w:type="spellEnd"/>
      <w:r>
        <w:rPr>
          <w:i/>
        </w:rPr>
        <w:t xml:space="preserve"> Vatican II </w:t>
      </w:r>
      <w:r>
        <w:t xml:space="preserve">(Vol. I) </w:t>
      </w:r>
      <w:proofErr w:type="spellStart"/>
      <w:r w:rsidRPr="00A60FFA">
        <w:rPr>
          <w:i/>
        </w:rPr>
        <w:t>Accéder</w:t>
      </w:r>
      <w:proofErr w:type="spellEnd"/>
      <w:r w:rsidRPr="00A60FFA">
        <w:rPr>
          <w:i/>
        </w:rPr>
        <w:t xml:space="preserve"> </w:t>
      </w:r>
      <w:r w:rsidRPr="00A60FFA">
        <w:rPr>
          <w:rFonts w:cstheme="minorHAnsi"/>
          <w:i/>
        </w:rPr>
        <w:t>à</w:t>
      </w:r>
      <w:r w:rsidRPr="00A60FFA">
        <w:rPr>
          <w:i/>
        </w:rPr>
        <w:t xml:space="preserve"> la source</w:t>
      </w:r>
      <w:r>
        <w:t xml:space="preserve"> (Paris:  Cerf, 2009); Ormond Rush, </w:t>
      </w:r>
      <w:r>
        <w:rPr>
          <w:i/>
        </w:rPr>
        <w:t>Still Interpreting Vatican II:  Some Hermeneutical Principles</w:t>
      </w:r>
      <w:r>
        <w:t xml:space="preserve"> (New York/Mahwah, NJ:  </w:t>
      </w:r>
      <w:proofErr w:type="spellStart"/>
      <w:r>
        <w:t>Paulist</w:t>
      </w:r>
      <w:proofErr w:type="spellEnd"/>
      <w:r>
        <w:t xml:space="preserve"> Press, 2004); Jared Wicks, “Vatican II on Revelation—From Behind the Scenes,” </w:t>
      </w:r>
      <w:r>
        <w:rPr>
          <w:i/>
        </w:rPr>
        <w:t xml:space="preserve">Theological Studies </w:t>
      </w:r>
      <w:r>
        <w:t>71 (2010): 637-50.</w:t>
      </w:r>
    </w:p>
  </w:footnote>
  <w:footnote w:id="17">
    <w:p w14:paraId="7D503D09" w14:textId="77777777" w:rsidR="00C57B05" w:rsidRDefault="00C57B05">
      <w:pPr>
        <w:pStyle w:val="FootnoteText"/>
      </w:pPr>
      <w:r>
        <w:rPr>
          <w:rStyle w:val="FootnoteReference"/>
        </w:rPr>
        <w:footnoteRef/>
      </w:r>
      <w:r>
        <w:t xml:space="preserve"> Unless otherwise noted, English translations of council documents are taken from Austin Flannery, </w:t>
      </w:r>
      <w:r w:rsidRPr="00F42D51">
        <w:rPr>
          <w:i/>
        </w:rPr>
        <w:t xml:space="preserve">Vatican Council II:  Constitutions, Decrees, </w:t>
      </w:r>
      <w:proofErr w:type="gramStart"/>
      <w:r w:rsidRPr="00F42D51">
        <w:rPr>
          <w:i/>
        </w:rPr>
        <w:t>Declarations</w:t>
      </w:r>
      <w:proofErr w:type="gramEnd"/>
      <w:r>
        <w:t xml:space="preserve">  (Northport:  Costello, 1996).</w:t>
      </w:r>
    </w:p>
  </w:footnote>
  <w:footnote w:id="18">
    <w:p w14:paraId="0A428E17" w14:textId="77777777" w:rsidR="00C57B05" w:rsidRPr="00A60FFA" w:rsidRDefault="00C57B05">
      <w:pPr>
        <w:pStyle w:val="FootnoteText"/>
      </w:pPr>
      <w:r>
        <w:rPr>
          <w:rStyle w:val="FootnoteReference"/>
        </w:rPr>
        <w:footnoteRef/>
      </w:r>
      <w:r>
        <w:t xml:space="preserve"> For a development of the communicative nature of God and divine revelation see Matthias </w:t>
      </w:r>
      <w:proofErr w:type="spellStart"/>
      <w:r>
        <w:t>Scharer</w:t>
      </w:r>
      <w:proofErr w:type="spellEnd"/>
      <w:r>
        <w:t xml:space="preserve"> and Bernd </w:t>
      </w:r>
      <w:proofErr w:type="spellStart"/>
      <w:r>
        <w:t>Jochen</w:t>
      </w:r>
      <w:proofErr w:type="spellEnd"/>
      <w:r>
        <w:t xml:space="preserve"> </w:t>
      </w:r>
      <w:proofErr w:type="spellStart"/>
      <w:r>
        <w:t>Hilberath</w:t>
      </w:r>
      <w:proofErr w:type="spellEnd"/>
      <w:r>
        <w:t xml:space="preserve">, </w:t>
      </w:r>
      <w:r>
        <w:rPr>
          <w:i/>
        </w:rPr>
        <w:t xml:space="preserve">The Practice of Communicative Theology </w:t>
      </w:r>
      <w:r>
        <w:t xml:space="preserve">(New York:  Crossroad, 2008), 64-79. </w:t>
      </w:r>
    </w:p>
  </w:footnote>
  <w:footnote w:id="19">
    <w:p w14:paraId="3651B9BC" w14:textId="77777777" w:rsidR="00C57B05" w:rsidRPr="00501379" w:rsidRDefault="00C57B05" w:rsidP="00972756">
      <w:pPr>
        <w:pStyle w:val="FootnoteText"/>
      </w:pPr>
      <w:r>
        <w:rPr>
          <w:rStyle w:val="FootnoteReference"/>
        </w:rPr>
        <w:footnoteRef/>
      </w:r>
      <w:r>
        <w:t xml:space="preserve"> This is a reoccurring theme in John W. O’Malley, </w:t>
      </w:r>
      <w:r>
        <w:rPr>
          <w:i/>
        </w:rPr>
        <w:t xml:space="preserve">What Happened at Vatican II </w:t>
      </w:r>
      <w:r>
        <w:t xml:space="preserve"> (Cambridge, MA:  Harvard University Press, 2008).</w:t>
      </w:r>
    </w:p>
  </w:footnote>
  <w:footnote w:id="20">
    <w:p w14:paraId="72B8075C" w14:textId="770E0D68" w:rsidR="00C57B05" w:rsidRDefault="00C57B05">
      <w:pPr>
        <w:pStyle w:val="FootnoteText"/>
      </w:pPr>
      <w:r>
        <w:rPr>
          <w:rStyle w:val="FootnoteReference"/>
        </w:rPr>
        <w:footnoteRef/>
      </w:r>
      <w:r>
        <w:t xml:space="preserve"> This view is articulated most famously in Pius X’s encyclical, </w:t>
      </w:r>
      <w:proofErr w:type="spellStart"/>
      <w:r w:rsidRPr="00F42D51">
        <w:rPr>
          <w:i/>
        </w:rPr>
        <w:t>Vehementor</w:t>
      </w:r>
      <w:proofErr w:type="spellEnd"/>
      <w:r w:rsidRPr="00F42D51">
        <w:rPr>
          <w:i/>
        </w:rPr>
        <w:t xml:space="preserve"> nos</w:t>
      </w:r>
      <w:r>
        <w:t xml:space="preserve">.  The English translation of the text is available in </w:t>
      </w:r>
      <w:r>
        <w:rPr>
          <w:i/>
          <w:iCs/>
        </w:rPr>
        <w:t xml:space="preserve">The Papal Encyclicals, </w:t>
      </w:r>
      <w:r>
        <w:t>edited by Claudia Carlen</w:t>
      </w:r>
      <w:r>
        <w:rPr>
          <w:i/>
          <w:iCs/>
        </w:rPr>
        <w:t xml:space="preserve"> </w:t>
      </w:r>
      <w:r>
        <w:t>(New York:  McGrath, 1981</w:t>
      </w:r>
      <w:proofErr w:type="gramStart"/>
      <w:r>
        <w:t>)  3</w:t>
      </w:r>
      <w:proofErr w:type="gramEnd"/>
      <w:r>
        <w:t>:  47-8.</w:t>
      </w:r>
    </w:p>
  </w:footnote>
  <w:footnote w:id="21">
    <w:p w14:paraId="43B483FA" w14:textId="40707E91" w:rsidR="00C57B05" w:rsidRDefault="00C57B05">
      <w:pPr>
        <w:pStyle w:val="FootnoteText"/>
      </w:pPr>
      <w:r>
        <w:rPr>
          <w:rStyle w:val="FootnoteReference"/>
        </w:rPr>
        <w:footnoteRef/>
      </w:r>
      <w:r>
        <w:t xml:space="preserve"> For the history of the key changes that occurred in the drafting of </w:t>
      </w:r>
      <w:r w:rsidRPr="00F42D51">
        <w:rPr>
          <w:i/>
        </w:rPr>
        <w:t xml:space="preserve">Lumen </w:t>
      </w:r>
      <w:proofErr w:type="spellStart"/>
      <w:r w:rsidRPr="00F42D51">
        <w:rPr>
          <w:i/>
        </w:rPr>
        <w:t>gentium</w:t>
      </w:r>
      <w:proofErr w:type="spellEnd"/>
      <w:r>
        <w:t xml:space="preserve">, see Richard R. Gaillardetz, </w:t>
      </w:r>
      <w:r w:rsidRPr="00F42D51">
        <w:rPr>
          <w:i/>
        </w:rPr>
        <w:t>The Church in the Making:</w:t>
      </w:r>
      <w:r>
        <w:t xml:space="preserve">  </w:t>
      </w:r>
      <w:r w:rsidRPr="00F42D51">
        <w:rPr>
          <w:i/>
          <w:iCs/>
        </w:rPr>
        <w:t xml:space="preserve">Lumen </w:t>
      </w:r>
      <w:proofErr w:type="spellStart"/>
      <w:r w:rsidRPr="00F42D51">
        <w:rPr>
          <w:i/>
          <w:iCs/>
        </w:rPr>
        <w:t>Gentium</w:t>
      </w:r>
      <w:proofErr w:type="spellEnd"/>
      <w:r w:rsidRPr="00F42D51">
        <w:rPr>
          <w:i/>
          <w:iCs/>
        </w:rPr>
        <w:t xml:space="preserve">, </w:t>
      </w:r>
      <w:proofErr w:type="spellStart"/>
      <w:r w:rsidRPr="00F42D51">
        <w:rPr>
          <w:i/>
          <w:iCs/>
        </w:rPr>
        <w:t>Christus</w:t>
      </w:r>
      <w:proofErr w:type="spellEnd"/>
      <w:r w:rsidRPr="00F42D51">
        <w:rPr>
          <w:i/>
          <w:iCs/>
        </w:rPr>
        <w:t xml:space="preserve"> Dominus, </w:t>
      </w:r>
      <w:proofErr w:type="spellStart"/>
      <w:proofErr w:type="gramStart"/>
      <w:r w:rsidRPr="00F42D51">
        <w:rPr>
          <w:i/>
          <w:iCs/>
        </w:rPr>
        <w:t>Orientalium</w:t>
      </w:r>
      <w:proofErr w:type="spellEnd"/>
      <w:proofErr w:type="gramEnd"/>
      <w:r w:rsidRPr="00F42D51">
        <w:rPr>
          <w:i/>
          <w:iCs/>
        </w:rPr>
        <w:t xml:space="preserve"> </w:t>
      </w:r>
      <w:proofErr w:type="spellStart"/>
      <w:r w:rsidRPr="00F42D51">
        <w:rPr>
          <w:i/>
          <w:iCs/>
        </w:rPr>
        <w:t>Ecclesiarum</w:t>
      </w:r>
      <w:proofErr w:type="spellEnd"/>
      <w:r w:rsidRPr="00F42D51">
        <w:rPr>
          <w:i/>
        </w:rPr>
        <w:t xml:space="preserve">. </w:t>
      </w:r>
      <w:r w:rsidRPr="00F42D51">
        <w:t xml:space="preserve"> [</w:t>
      </w:r>
      <w:r w:rsidRPr="00F42D51">
        <w:rPr>
          <w:i/>
        </w:rPr>
        <w:t>Rediscovering Vatican II Series</w:t>
      </w:r>
      <w:r w:rsidRPr="00F42D51">
        <w:t>]  (</w:t>
      </w:r>
      <w:r w:rsidRPr="00F42D51">
        <w:rPr>
          <w:bCs/>
        </w:rPr>
        <w:t xml:space="preserve">New York:  </w:t>
      </w:r>
      <w:proofErr w:type="spellStart"/>
      <w:r w:rsidRPr="00F42D51">
        <w:rPr>
          <w:bCs/>
        </w:rPr>
        <w:t>Paulist</w:t>
      </w:r>
      <w:proofErr w:type="spellEnd"/>
      <w:r w:rsidRPr="00F42D51">
        <w:rPr>
          <w:bCs/>
        </w:rPr>
        <w:t xml:space="preserve"> Press 2006), </w:t>
      </w:r>
      <w:r w:rsidR="008A2F96">
        <w:rPr>
          <w:bCs/>
        </w:rPr>
        <w:t>8-27</w:t>
      </w:r>
      <w:r w:rsidRPr="00F42D51">
        <w:rPr>
          <w:bCs/>
          <w:i/>
        </w:rPr>
        <w:t>.</w:t>
      </w:r>
    </w:p>
  </w:footnote>
  <w:footnote w:id="22">
    <w:p w14:paraId="10E4B32D" w14:textId="77777777" w:rsidR="00C57B05" w:rsidRDefault="00C57B05" w:rsidP="006A7819">
      <w:pPr>
        <w:pStyle w:val="FootnoteText"/>
      </w:pPr>
      <w:r>
        <w:rPr>
          <w:rStyle w:val="FootnoteReference"/>
        </w:rPr>
        <w:footnoteRef/>
      </w:r>
      <w:r>
        <w:t xml:space="preserve"> </w:t>
      </w:r>
      <w:proofErr w:type="spellStart"/>
      <w:r>
        <w:rPr>
          <w:i/>
        </w:rPr>
        <w:t>Acta</w:t>
      </w:r>
      <w:proofErr w:type="spellEnd"/>
      <w:r>
        <w:rPr>
          <w:i/>
        </w:rPr>
        <w:t xml:space="preserve"> </w:t>
      </w:r>
      <w:proofErr w:type="spellStart"/>
      <w:r>
        <w:rPr>
          <w:i/>
        </w:rPr>
        <w:t>Synodalia</w:t>
      </w:r>
      <w:proofErr w:type="spellEnd"/>
      <w:r>
        <w:rPr>
          <w:i/>
        </w:rPr>
        <w:t xml:space="preserve"> </w:t>
      </w:r>
      <w:r>
        <w:t>II/3, 202.</w:t>
      </w:r>
    </w:p>
  </w:footnote>
  <w:footnote w:id="23">
    <w:p w14:paraId="30BA8929" w14:textId="77777777" w:rsidR="00C57B05" w:rsidRDefault="00C57B05" w:rsidP="0002532E">
      <w:pPr>
        <w:pStyle w:val="FootnoteText"/>
      </w:pPr>
      <w:r>
        <w:rPr>
          <w:rStyle w:val="FootnoteReference"/>
        </w:rPr>
        <w:footnoteRef/>
      </w:r>
      <w:r>
        <w:t xml:space="preserve"> Quoted in Paul Lakeland, </w:t>
      </w:r>
      <w:r>
        <w:rPr>
          <w:i/>
          <w:iCs/>
        </w:rPr>
        <w:t>The Liberation of the Laity</w:t>
      </w:r>
      <w:r>
        <w:t xml:space="preserve"> (New York:  Continuum, 2003), 105.</w:t>
      </w:r>
    </w:p>
  </w:footnote>
  <w:footnote w:id="24">
    <w:p w14:paraId="7F2CAC21" w14:textId="77777777" w:rsidR="00C57B05" w:rsidRDefault="00C57B05">
      <w:pPr>
        <w:pStyle w:val="FootnoteText"/>
      </w:pPr>
      <w:r>
        <w:rPr>
          <w:rStyle w:val="FootnoteReference"/>
        </w:rPr>
        <w:footnoteRef/>
      </w:r>
      <w:r>
        <w:t xml:space="preserve"> This document can be accessed at the Vatican web-site:  </w:t>
      </w:r>
      <w:hyperlink r:id="rId1" w:history="1">
        <w:r w:rsidRPr="00302D59">
          <w:rPr>
            <w:rStyle w:val="Hyperlink"/>
          </w:rPr>
          <w:t>http://www.vatican.va/roman_curia/congregations/cfaith/documents/rc_con_cfaith_doc_20000806_dominus-iesus_en.html</w:t>
        </w:r>
      </w:hyperlink>
      <w:r>
        <w:t xml:space="preserve"> .</w:t>
      </w:r>
    </w:p>
  </w:footnote>
  <w:footnote w:id="25">
    <w:p w14:paraId="6FD45DB4" w14:textId="77777777" w:rsidR="00C57B05" w:rsidRDefault="00C57B05">
      <w:pPr>
        <w:pStyle w:val="FootnoteText"/>
      </w:pPr>
      <w:r>
        <w:rPr>
          <w:rStyle w:val="FootnoteReference"/>
        </w:rPr>
        <w:footnoteRef/>
      </w:r>
      <w:r>
        <w:t xml:space="preserve"> This document can be accessed at the Vatican web-site:  </w:t>
      </w:r>
      <w:hyperlink r:id="rId2" w:history="1">
        <w:r w:rsidRPr="00302D59">
          <w:rPr>
            <w:rStyle w:val="Hyperlink"/>
          </w:rPr>
          <w:t>http://www.vatican.va/roman_curia/congregations/cfaith/documents/rc_con_cfaith_doc_20070629_responsa-quaestiones_en.html</w:t>
        </w:r>
      </w:hyperlink>
      <w:r>
        <w:t xml:space="preserve"> .</w:t>
      </w:r>
    </w:p>
  </w:footnote>
  <w:footnote w:id="26">
    <w:p w14:paraId="411BBC00" w14:textId="77777777" w:rsidR="00C57B05" w:rsidRDefault="00C57B05">
      <w:pPr>
        <w:pStyle w:val="FootnoteText"/>
      </w:pPr>
      <w:r>
        <w:rPr>
          <w:rStyle w:val="FootnoteReference"/>
        </w:rPr>
        <w:footnoteRef/>
      </w:r>
      <w:r>
        <w:t xml:space="preserve"> This document can be accessed at the Vatican web-site:  </w:t>
      </w:r>
      <w:hyperlink r:id="rId3" w:history="1">
        <w:r w:rsidRPr="00302D59">
          <w:rPr>
            <w:rStyle w:val="Hyperlink"/>
          </w:rPr>
          <w:t>http://www.vatican.va/roman_curia/pontifical_councils/laity/documents/rc_con_interdic_doc_15081997_en.html</w:t>
        </w:r>
      </w:hyperlink>
      <w:r>
        <w:t xml:space="preserve"> .</w:t>
      </w:r>
    </w:p>
  </w:footnote>
  <w:footnote w:id="27">
    <w:p w14:paraId="60081E58" w14:textId="77777777" w:rsidR="00C57B05" w:rsidRDefault="00C57B05">
      <w:pPr>
        <w:pStyle w:val="FootnoteText"/>
      </w:pPr>
      <w:r>
        <w:rPr>
          <w:rStyle w:val="FootnoteReference"/>
        </w:rPr>
        <w:footnoteRef/>
      </w:r>
      <w:r>
        <w:t xml:space="preserve"> This document can be accessed at the Vatican web-site:  </w:t>
      </w:r>
      <w:hyperlink r:id="rId4" w:history="1">
        <w:r w:rsidRPr="00302D59">
          <w:rPr>
            <w:rStyle w:val="Hyperlink"/>
          </w:rPr>
          <w:t>http://www.vatican.va/roman_curia/congregations/ccdds/documents/rc_con_ccdds_doc_20040423_redemptionis-sacramentum_en.html</w:t>
        </w:r>
      </w:hyperlink>
      <w:r>
        <w:t xml:space="preserve"> .</w:t>
      </w:r>
    </w:p>
  </w:footnote>
  <w:footnote w:id="28">
    <w:p w14:paraId="328107B6" w14:textId="77777777" w:rsidR="00C57B05" w:rsidRDefault="00C57B05">
      <w:pPr>
        <w:pStyle w:val="FootnoteText"/>
      </w:pPr>
      <w:r>
        <w:rPr>
          <w:rStyle w:val="FootnoteReference"/>
        </w:rPr>
        <w:footnoteRef/>
      </w:r>
      <w:r>
        <w:t xml:space="preserve"> This document can be accessed at the Vatican web-site:  </w:t>
      </w:r>
      <w:hyperlink r:id="rId5" w:history="1">
        <w:r w:rsidRPr="00302D59">
          <w:rPr>
            <w:rStyle w:val="Hyperlink"/>
          </w:rPr>
          <w:t>http://www.vatican.va/roman_curia/congregations/ccdds/documents/rc_con_ccdds_doc_20030317_ordinamento-messale_en.html</w:t>
        </w:r>
      </w:hyperlink>
      <w:r>
        <w:t xml:space="preserve"> .</w:t>
      </w:r>
    </w:p>
  </w:footnote>
  <w:footnote w:id="29">
    <w:p w14:paraId="1B11A09E" w14:textId="77777777" w:rsidR="00C57B05" w:rsidRDefault="00C57B05">
      <w:pPr>
        <w:pStyle w:val="FootnoteText"/>
      </w:pPr>
      <w:r>
        <w:rPr>
          <w:rStyle w:val="FootnoteReference"/>
        </w:rPr>
        <w:footnoteRef/>
      </w:r>
      <w:r>
        <w:t xml:space="preserve"> This document can be accessed at the Vatican web-site:  </w:t>
      </w:r>
      <w:hyperlink r:id="rId6" w:history="1">
        <w:r w:rsidRPr="00302D59">
          <w:rPr>
            <w:rStyle w:val="Hyperlink"/>
          </w:rPr>
          <w:t>http://www.vatican.va/holy_father/john_paul_ii/motu_proprio/documents/hf_jp-ii_motu-proprio_22071998_apostolos-suos_en.html</w:t>
        </w:r>
      </w:hyperlink>
      <w:r>
        <w:t xml:space="preserve"> .</w:t>
      </w:r>
    </w:p>
  </w:footnote>
  <w:footnote w:id="30">
    <w:p w14:paraId="0E4B9C87" w14:textId="6BF8B018" w:rsidR="00C57B05" w:rsidRPr="00420DB4" w:rsidRDefault="00C57B05">
      <w:pPr>
        <w:pStyle w:val="FootnoteText"/>
      </w:pPr>
      <w:r>
        <w:rPr>
          <w:rStyle w:val="FootnoteReference"/>
        </w:rPr>
        <w:footnoteRef/>
      </w:r>
      <w:r>
        <w:t xml:space="preserve"> The literature on this topic is voluminous.  For a recent study see, Joseph f. O’Callaghan, </w:t>
      </w:r>
      <w:r>
        <w:rPr>
          <w:i/>
        </w:rPr>
        <w:t xml:space="preserve">Electing Our Bishops:  How the Catholic </w:t>
      </w:r>
      <w:r w:rsidR="00F42D51">
        <w:rPr>
          <w:i/>
        </w:rPr>
        <w:t>C</w:t>
      </w:r>
      <w:r>
        <w:rPr>
          <w:i/>
        </w:rPr>
        <w:t xml:space="preserve">hurch Should Choose Its Leaders </w:t>
      </w:r>
      <w:r>
        <w:t xml:space="preserve">(New York:  </w:t>
      </w:r>
      <w:proofErr w:type="spellStart"/>
      <w:r>
        <w:t>Sheed</w:t>
      </w:r>
      <w:proofErr w:type="spellEnd"/>
      <w:r>
        <w:t xml:space="preserve"> &amp; Ward, 2007).</w:t>
      </w:r>
    </w:p>
  </w:footnote>
  <w:footnote w:id="31">
    <w:p w14:paraId="05C09354" w14:textId="3E886C00" w:rsidR="00C57B05" w:rsidRDefault="00C57B05">
      <w:pPr>
        <w:pStyle w:val="FootnoteText"/>
      </w:pPr>
      <w:r>
        <w:rPr>
          <w:rStyle w:val="FootnoteReference"/>
        </w:rPr>
        <w:footnoteRef/>
      </w:r>
      <w:r>
        <w:t xml:space="preserve"> This topic was </w:t>
      </w:r>
      <w:r w:rsidR="00F42D51">
        <w:t xml:space="preserve">also </w:t>
      </w:r>
      <w:r>
        <w:t>the subject of the episcopal synod held in the fall of 2012.</w:t>
      </w:r>
    </w:p>
  </w:footnote>
  <w:footnote w:id="32">
    <w:p w14:paraId="47E0BE67" w14:textId="1989C3D6" w:rsidR="00C57B05" w:rsidRPr="00D83D74" w:rsidRDefault="00C57B05" w:rsidP="00AC2EA9">
      <w:pPr>
        <w:pStyle w:val="FootnoteText"/>
      </w:pPr>
      <w:r>
        <w:rPr>
          <w:rStyle w:val="FootnoteReference"/>
        </w:rPr>
        <w:footnoteRef/>
      </w:r>
      <w:r>
        <w:t xml:space="preserve"> </w:t>
      </w:r>
      <w:proofErr w:type="spellStart"/>
      <w:proofErr w:type="gramStart"/>
      <w:r>
        <w:t>Faivre</w:t>
      </w:r>
      <w:proofErr w:type="spellEnd"/>
      <w:r>
        <w:t xml:space="preserve">, </w:t>
      </w:r>
      <w:r>
        <w:rPr>
          <w:i/>
        </w:rPr>
        <w:t xml:space="preserve">The Emergence of the Laity in the Early Church </w:t>
      </w:r>
      <w:r>
        <w:t>5.</w:t>
      </w:r>
      <w:proofErr w:type="gramEnd"/>
      <w:r>
        <w:t xml:space="preserve"> </w:t>
      </w:r>
    </w:p>
  </w:footnote>
  <w:footnote w:id="33">
    <w:p w14:paraId="13F55ACD" w14:textId="77777777" w:rsidR="00C57B05" w:rsidRPr="0064059C" w:rsidRDefault="00C57B05" w:rsidP="00B30074">
      <w:pPr>
        <w:pStyle w:val="FootnoteText"/>
      </w:pPr>
      <w:r>
        <w:rPr>
          <w:rStyle w:val="FootnoteReference"/>
        </w:rPr>
        <w:footnoteRef/>
      </w:r>
      <w:r>
        <w:t xml:space="preserve"> José de Mesa, </w:t>
      </w:r>
      <w:r>
        <w:rPr>
          <w:i/>
        </w:rPr>
        <w:t>Marriage is Discipleship</w:t>
      </w:r>
      <w:r>
        <w:t xml:space="preserve"> (Quezon City, Philippines:  East Asian Pastoral Institute, 1995).</w:t>
      </w:r>
    </w:p>
  </w:footnote>
  <w:footnote w:id="34">
    <w:p w14:paraId="46A914BB" w14:textId="77777777" w:rsidR="00C57B05" w:rsidRPr="00880C5D" w:rsidRDefault="00C57B05" w:rsidP="00B30074">
      <w:pPr>
        <w:pStyle w:val="FootnoteText"/>
      </w:pPr>
      <w:r>
        <w:rPr>
          <w:rStyle w:val="FootnoteReference"/>
        </w:rPr>
        <w:footnoteRef/>
      </w:r>
      <w:r>
        <w:t xml:space="preserve"> For more on the theology of the domestic church, see Florence </w:t>
      </w:r>
      <w:proofErr w:type="spellStart"/>
      <w:r>
        <w:t>Caffrey</w:t>
      </w:r>
      <w:proofErr w:type="spellEnd"/>
      <w:r>
        <w:t xml:space="preserve"> Bourg, </w:t>
      </w:r>
      <w:r>
        <w:rPr>
          <w:i/>
        </w:rPr>
        <w:t xml:space="preserve">Where Two or Three are Gathered </w:t>
      </w:r>
      <w:r>
        <w:t xml:space="preserve"> (Notre Dame:  University of Notre Dame Press, 2004).</w:t>
      </w:r>
    </w:p>
  </w:footnote>
  <w:footnote w:id="35">
    <w:p w14:paraId="5F8D34DB" w14:textId="77777777" w:rsidR="00C57B05" w:rsidRPr="006C720A" w:rsidRDefault="00C57B05">
      <w:pPr>
        <w:pStyle w:val="FootnoteText"/>
      </w:pPr>
      <w:r>
        <w:rPr>
          <w:rStyle w:val="FootnoteReference"/>
        </w:rPr>
        <w:footnoteRef/>
      </w:r>
      <w:r>
        <w:t xml:space="preserve"> This document can be accessed at the Vatican web-site:  </w:t>
      </w:r>
      <w:hyperlink r:id="rId7" w:history="1">
        <w:r w:rsidRPr="00302D59">
          <w:rPr>
            <w:rStyle w:val="Hyperlink"/>
          </w:rPr>
          <w:t>http://www.vatican.va/holy_father/john_paul_ii/apost_exhortations/documents/hf_jp-ii_exh_19811122_familiaris-consortio_en.html</w:t>
        </w:r>
      </w:hyperlink>
      <w:r>
        <w:t xml:space="preserve"> .</w:t>
      </w:r>
    </w:p>
  </w:footnote>
  <w:footnote w:id="36">
    <w:p w14:paraId="4731971D" w14:textId="77777777" w:rsidR="00C57B05" w:rsidRPr="00874966" w:rsidRDefault="00C57B05">
      <w:pPr>
        <w:pStyle w:val="FootnoteText"/>
      </w:pPr>
      <w:r>
        <w:rPr>
          <w:rStyle w:val="FootnoteReference"/>
        </w:rPr>
        <w:footnoteRef/>
      </w:r>
      <w:r>
        <w:t xml:space="preserve"> </w:t>
      </w:r>
      <w:proofErr w:type="spellStart"/>
      <w:r>
        <w:t>Hervé</w:t>
      </w:r>
      <w:proofErr w:type="spellEnd"/>
      <w:r>
        <w:t xml:space="preserve"> </w:t>
      </w:r>
      <w:proofErr w:type="spellStart"/>
      <w:r>
        <w:t>Legrand</w:t>
      </w:r>
      <w:proofErr w:type="spellEnd"/>
      <w:r>
        <w:t xml:space="preserve">, “Forty Years Later:  What has become of the Ecclesiological Reforms envisaged by Vatican II?” in </w:t>
      </w:r>
      <w:r>
        <w:rPr>
          <w:i/>
        </w:rPr>
        <w:t xml:space="preserve">Vatican II:  A Forgotten Future </w:t>
      </w:r>
      <w:r>
        <w:t>[</w:t>
      </w:r>
      <w:proofErr w:type="spellStart"/>
      <w:r>
        <w:rPr>
          <w:i/>
        </w:rPr>
        <w:t>Concilium</w:t>
      </w:r>
      <w:proofErr w:type="spellEnd"/>
      <w:r>
        <w:rPr>
          <w:i/>
        </w:rPr>
        <w:t xml:space="preserve"> </w:t>
      </w:r>
      <w:r>
        <w:t>2005/4]:  57-72, at 57.</w:t>
      </w:r>
    </w:p>
  </w:footnote>
  <w:footnote w:id="37">
    <w:p w14:paraId="547F2068" w14:textId="77777777" w:rsidR="00C57B05" w:rsidRDefault="00C57B05">
      <w:pPr>
        <w:pStyle w:val="FootnoteText"/>
      </w:pPr>
      <w:r>
        <w:rPr>
          <w:rStyle w:val="FootnoteReference"/>
        </w:rPr>
        <w:footnoteRef/>
      </w:r>
      <w:r>
        <w:t xml:space="preserve"> Ibid</w:t>
      </w:r>
      <w:proofErr w:type="gramStart"/>
      <w:r>
        <w:t>.,</w:t>
      </w:r>
      <w:proofErr w:type="gramEnd"/>
      <w:r>
        <w:t xml:space="preserve"> 58.</w:t>
      </w:r>
    </w:p>
  </w:footnote>
  <w:footnote w:id="38">
    <w:p w14:paraId="2C0B0CB3" w14:textId="77777777" w:rsidR="00C57B05" w:rsidRDefault="00C57B05" w:rsidP="00CB55CD">
      <w:pPr>
        <w:pStyle w:val="FootnoteText"/>
      </w:pPr>
      <w:r>
        <w:rPr>
          <w:rStyle w:val="FootnoteReference"/>
        </w:rPr>
        <w:footnoteRef/>
      </w:r>
      <w:r>
        <w:t xml:space="preserve"> Sharon </w:t>
      </w:r>
      <w:proofErr w:type="spellStart"/>
      <w:r>
        <w:t>Euart</w:t>
      </w:r>
      <w:proofErr w:type="spellEnd"/>
      <w:r>
        <w:t xml:space="preserve">, “Structures for Participation in the Church,” </w:t>
      </w:r>
      <w:r>
        <w:rPr>
          <w:i/>
        </w:rPr>
        <w:t xml:space="preserve">Origins </w:t>
      </w:r>
      <w:r>
        <w:t xml:space="preserve">35 (May 26, 2005):  18-25.  The treatment of the canonical structures for the consultation of the faithful in this section is largely drawn from Sr. </w:t>
      </w:r>
      <w:proofErr w:type="spellStart"/>
      <w:r>
        <w:t>Euart’s</w:t>
      </w:r>
      <w:proofErr w:type="spellEnd"/>
      <w:r>
        <w:t xml:space="preserve"> address. </w:t>
      </w:r>
    </w:p>
  </w:footnote>
  <w:footnote w:id="39">
    <w:p w14:paraId="3EF2FD7A" w14:textId="77777777" w:rsidR="00C57B05" w:rsidRDefault="00C57B05">
      <w:pPr>
        <w:pStyle w:val="FootnoteText"/>
      </w:pPr>
      <w:r>
        <w:rPr>
          <w:rStyle w:val="FootnoteReference"/>
        </w:rPr>
        <w:footnoteRef/>
      </w:r>
      <w:r>
        <w:t xml:space="preserve"> This document can be accessed at the Vatican web-site:  </w:t>
      </w:r>
      <w:hyperlink r:id="rId8" w:history="1">
        <w:r w:rsidRPr="00302D59">
          <w:rPr>
            <w:rStyle w:val="Hyperlink"/>
          </w:rPr>
          <w:t>http://www.vatican.va/holy_father/john_paul_ii/apost_letters/documents/hf_jp-ii_apl_20010106_novo-millennio-ineunte_en.html</w:t>
        </w:r>
      </w:hyperlink>
      <w:r>
        <w:t xml:space="preserve"> .</w:t>
      </w:r>
    </w:p>
  </w:footnote>
  <w:footnote w:id="40">
    <w:p w14:paraId="0AF311FB" w14:textId="77777777" w:rsidR="00C57B05" w:rsidRDefault="00C57B05" w:rsidP="00CB55CD">
      <w:pPr>
        <w:pStyle w:val="FootnoteText"/>
      </w:pPr>
      <w:r>
        <w:rPr>
          <w:rStyle w:val="FootnoteReference"/>
        </w:rPr>
        <w:footnoteRef/>
      </w:r>
      <w:r>
        <w:t xml:space="preserve"> See </w:t>
      </w:r>
      <w:proofErr w:type="gramStart"/>
      <w:r w:rsidRPr="00874966">
        <w:t>article</w:t>
      </w:r>
      <w:r>
        <w:rPr>
          <w:i/>
        </w:rPr>
        <w:t xml:space="preserve"> </w:t>
      </w:r>
      <w:r>
        <w:t xml:space="preserve"> 44</w:t>
      </w:r>
      <w:proofErr w:type="gramEnd"/>
      <w:r>
        <w:t xml:space="preserve"> This document can be accessed at the Vatican web-site:  </w:t>
      </w:r>
      <w:hyperlink r:id="rId9" w:history="1">
        <w:r w:rsidRPr="00302D59">
          <w:rPr>
            <w:rStyle w:val="Hyperlink"/>
          </w:rPr>
          <w:t>http://www.vatican.va/holy_father/john_paul_ii/apost_exhortations/documents/hf_jp-ii_exh_20031016_pastores-gregis_en.html</w:t>
        </w:r>
      </w:hyperlink>
      <w:r>
        <w:t xml:space="preserve"> . </w:t>
      </w:r>
    </w:p>
  </w:footnote>
  <w:footnote w:id="41">
    <w:p w14:paraId="2A0589CD" w14:textId="77777777" w:rsidR="00C57B05" w:rsidRDefault="00C57B05" w:rsidP="00CB55CD">
      <w:pPr>
        <w:pStyle w:val="FootnoteText"/>
      </w:pPr>
      <w:r>
        <w:rPr>
          <w:rStyle w:val="FootnoteReference"/>
        </w:rPr>
        <w:footnoteRef/>
      </w:r>
      <w:r>
        <w:t xml:space="preserve"> Quoted in Thomas J. Healey, “A Blueprint for Change,” </w:t>
      </w:r>
      <w:r>
        <w:rPr>
          <w:i/>
          <w:iCs/>
        </w:rPr>
        <w:t xml:space="preserve">America </w:t>
      </w:r>
      <w:r>
        <w:t xml:space="preserve"> (September, 26, 2005):  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357"/>
      <w:docPartObj>
        <w:docPartGallery w:val="Page Numbers (Top of Page)"/>
        <w:docPartUnique/>
      </w:docPartObj>
    </w:sdtPr>
    <w:sdtEndPr/>
    <w:sdtContent>
      <w:p w14:paraId="5DF223E1" w14:textId="77777777" w:rsidR="00C57B05" w:rsidRDefault="00C57B05">
        <w:pPr>
          <w:pStyle w:val="Header"/>
          <w:jc w:val="center"/>
        </w:pPr>
        <w:r>
          <w:fldChar w:fldCharType="begin"/>
        </w:r>
        <w:r>
          <w:instrText xml:space="preserve"> PAGE   \* MERGEFORMAT </w:instrText>
        </w:r>
        <w:r>
          <w:fldChar w:fldCharType="separate"/>
        </w:r>
        <w:r w:rsidR="00377C6E">
          <w:rPr>
            <w:noProof/>
          </w:rPr>
          <w:t>16</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AAB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684DF18"/>
    <w:lvl w:ilvl="0">
      <w:start w:val="1"/>
      <w:numFmt w:val="decimal"/>
      <w:lvlText w:val="%1."/>
      <w:lvlJc w:val="left"/>
      <w:pPr>
        <w:tabs>
          <w:tab w:val="num" w:pos="1800"/>
        </w:tabs>
        <w:ind w:left="1800" w:hanging="360"/>
      </w:pPr>
    </w:lvl>
  </w:abstractNum>
  <w:abstractNum w:abstractNumId="2">
    <w:nsid w:val="FFFFFF7D"/>
    <w:multiLevelType w:val="singleLevel"/>
    <w:tmpl w:val="500EB926"/>
    <w:lvl w:ilvl="0">
      <w:start w:val="1"/>
      <w:numFmt w:val="decimal"/>
      <w:lvlText w:val="%1."/>
      <w:lvlJc w:val="left"/>
      <w:pPr>
        <w:tabs>
          <w:tab w:val="num" w:pos="1440"/>
        </w:tabs>
        <w:ind w:left="1440" w:hanging="360"/>
      </w:pPr>
    </w:lvl>
  </w:abstractNum>
  <w:abstractNum w:abstractNumId="3">
    <w:nsid w:val="FFFFFF7E"/>
    <w:multiLevelType w:val="singleLevel"/>
    <w:tmpl w:val="8E9EB098"/>
    <w:lvl w:ilvl="0">
      <w:start w:val="1"/>
      <w:numFmt w:val="decimal"/>
      <w:lvlText w:val="%1."/>
      <w:lvlJc w:val="left"/>
      <w:pPr>
        <w:tabs>
          <w:tab w:val="num" w:pos="1080"/>
        </w:tabs>
        <w:ind w:left="1080" w:hanging="360"/>
      </w:pPr>
    </w:lvl>
  </w:abstractNum>
  <w:abstractNum w:abstractNumId="4">
    <w:nsid w:val="FFFFFF7F"/>
    <w:multiLevelType w:val="singleLevel"/>
    <w:tmpl w:val="A5A4FCBE"/>
    <w:lvl w:ilvl="0">
      <w:start w:val="1"/>
      <w:numFmt w:val="decimal"/>
      <w:lvlText w:val="%1."/>
      <w:lvlJc w:val="left"/>
      <w:pPr>
        <w:tabs>
          <w:tab w:val="num" w:pos="720"/>
        </w:tabs>
        <w:ind w:left="720" w:hanging="360"/>
      </w:pPr>
    </w:lvl>
  </w:abstractNum>
  <w:abstractNum w:abstractNumId="5">
    <w:nsid w:val="FFFFFF80"/>
    <w:multiLevelType w:val="singleLevel"/>
    <w:tmpl w:val="8E7A588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14201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05ECDE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449E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E826EF6"/>
    <w:lvl w:ilvl="0">
      <w:start w:val="1"/>
      <w:numFmt w:val="decimal"/>
      <w:lvlText w:val="%1."/>
      <w:lvlJc w:val="left"/>
      <w:pPr>
        <w:tabs>
          <w:tab w:val="num" w:pos="360"/>
        </w:tabs>
        <w:ind w:left="360" w:hanging="360"/>
      </w:pPr>
    </w:lvl>
  </w:abstractNum>
  <w:abstractNum w:abstractNumId="10">
    <w:nsid w:val="FFFFFF89"/>
    <w:multiLevelType w:val="singleLevel"/>
    <w:tmpl w:val="AEF46FE4"/>
    <w:lvl w:ilvl="0">
      <w:start w:val="1"/>
      <w:numFmt w:val="bullet"/>
      <w:lvlText w:val=""/>
      <w:lvlJc w:val="left"/>
      <w:pPr>
        <w:tabs>
          <w:tab w:val="num" w:pos="360"/>
        </w:tabs>
        <w:ind w:left="360" w:hanging="360"/>
      </w:pPr>
      <w:rPr>
        <w:rFonts w:ascii="Symbol" w:hAnsi="Symbol" w:hint="default"/>
      </w:rPr>
    </w:lvl>
  </w:abstractNum>
  <w:abstractNum w:abstractNumId="11">
    <w:nsid w:val="035D3998"/>
    <w:multiLevelType w:val="hybridMultilevel"/>
    <w:tmpl w:val="25301648"/>
    <w:lvl w:ilvl="0" w:tplc="42F04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B173AA"/>
    <w:multiLevelType w:val="hybridMultilevel"/>
    <w:tmpl w:val="30AEE5BA"/>
    <w:lvl w:ilvl="0" w:tplc="4E06BE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3527B9"/>
    <w:multiLevelType w:val="hybridMultilevel"/>
    <w:tmpl w:val="4DD8CB12"/>
    <w:lvl w:ilvl="0" w:tplc="25CA4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82119B"/>
    <w:multiLevelType w:val="hybridMultilevel"/>
    <w:tmpl w:val="CC300174"/>
    <w:lvl w:ilvl="0" w:tplc="42F04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2227E2"/>
    <w:multiLevelType w:val="hybridMultilevel"/>
    <w:tmpl w:val="73DAFC9C"/>
    <w:lvl w:ilvl="0" w:tplc="FEEAF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037C30"/>
    <w:multiLevelType w:val="hybridMultilevel"/>
    <w:tmpl w:val="0A409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DB39DD"/>
    <w:multiLevelType w:val="hybridMultilevel"/>
    <w:tmpl w:val="1C92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F259AC"/>
    <w:multiLevelType w:val="hybridMultilevel"/>
    <w:tmpl w:val="E99244DC"/>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916B67"/>
    <w:multiLevelType w:val="hybridMultilevel"/>
    <w:tmpl w:val="DED4091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3E13B4"/>
    <w:multiLevelType w:val="hybridMultilevel"/>
    <w:tmpl w:val="3700491C"/>
    <w:lvl w:ilvl="0" w:tplc="42F04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8485C"/>
    <w:multiLevelType w:val="hybridMultilevel"/>
    <w:tmpl w:val="51AA6C60"/>
    <w:lvl w:ilvl="0" w:tplc="B64AE37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nsid w:val="517370A5"/>
    <w:multiLevelType w:val="hybridMultilevel"/>
    <w:tmpl w:val="9A1A65E4"/>
    <w:lvl w:ilvl="0" w:tplc="04090015">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3">
    <w:nsid w:val="5598677B"/>
    <w:multiLevelType w:val="hybridMultilevel"/>
    <w:tmpl w:val="47806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B18CD"/>
    <w:multiLevelType w:val="hybridMultilevel"/>
    <w:tmpl w:val="CD5E491E"/>
    <w:lvl w:ilvl="0" w:tplc="04090001">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A700910"/>
    <w:multiLevelType w:val="hybridMultilevel"/>
    <w:tmpl w:val="FE2ED4BC"/>
    <w:lvl w:ilvl="0" w:tplc="EECE0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num>
  <w:num w:numId="2">
    <w:abstractNumId w:val="24"/>
  </w:num>
  <w:num w:numId="3">
    <w:abstractNumId w:val="21"/>
  </w:num>
  <w:num w:numId="4">
    <w:abstractNumId w:val="23"/>
  </w:num>
  <w:num w:numId="5">
    <w:abstractNumId w:val="17"/>
  </w:num>
  <w:num w:numId="6">
    <w:abstractNumId w:val="22"/>
  </w:num>
  <w:num w:numId="7">
    <w:abstractNumId w:val="15"/>
  </w:num>
  <w:num w:numId="8">
    <w:abstractNumId w:val="19"/>
  </w:num>
  <w:num w:numId="9">
    <w:abstractNumId w:val="16"/>
  </w:num>
  <w:num w:numId="10">
    <w:abstractNumId w:val="18"/>
  </w:num>
  <w:num w:numId="11">
    <w:abstractNumId w:val="11"/>
  </w:num>
  <w:num w:numId="12">
    <w:abstractNumId w:val="14"/>
  </w:num>
  <w:num w:numId="13">
    <w:abstractNumId w:val="20"/>
  </w:num>
  <w:num w:numId="14">
    <w:abstractNumId w:val="12"/>
  </w:num>
  <w:num w:numId="15">
    <w:abstractNumId w:val="25"/>
  </w:num>
  <w:num w:numId="16">
    <w:abstractNumId w:val="25"/>
    <w:lvlOverride w:ilvl="0">
      <w:startOverride w:val="1"/>
    </w:lvlOverride>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attachedTemplate r:id="rId1"/>
  <w:linkStyl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51"/>
    <w:rsid w:val="00000CE2"/>
    <w:rsid w:val="000041E5"/>
    <w:rsid w:val="00020C1B"/>
    <w:rsid w:val="0002532E"/>
    <w:rsid w:val="0002731E"/>
    <w:rsid w:val="00032776"/>
    <w:rsid w:val="00035F9D"/>
    <w:rsid w:val="0004223A"/>
    <w:rsid w:val="00042CDF"/>
    <w:rsid w:val="00043175"/>
    <w:rsid w:val="00043683"/>
    <w:rsid w:val="0005170E"/>
    <w:rsid w:val="00052289"/>
    <w:rsid w:val="0006100C"/>
    <w:rsid w:val="00084D96"/>
    <w:rsid w:val="000A03CD"/>
    <w:rsid w:val="000A78B0"/>
    <w:rsid w:val="000B65BF"/>
    <w:rsid w:val="000E6BA8"/>
    <w:rsid w:val="000F0201"/>
    <w:rsid w:val="000F5957"/>
    <w:rsid w:val="001041A2"/>
    <w:rsid w:val="0010694C"/>
    <w:rsid w:val="00115187"/>
    <w:rsid w:val="00120CC4"/>
    <w:rsid w:val="00124B1E"/>
    <w:rsid w:val="001455A1"/>
    <w:rsid w:val="001634C2"/>
    <w:rsid w:val="00164286"/>
    <w:rsid w:val="00165E08"/>
    <w:rsid w:val="0019550D"/>
    <w:rsid w:val="001A3158"/>
    <w:rsid w:val="001D2B11"/>
    <w:rsid w:val="001F62CD"/>
    <w:rsid w:val="0020737D"/>
    <w:rsid w:val="00215530"/>
    <w:rsid w:val="00224351"/>
    <w:rsid w:val="00235DD7"/>
    <w:rsid w:val="00246822"/>
    <w:rsid w:val="00247B85"/>
    <w:rsid w:val="00283271"/>
    <w:rsid w:val="00286D23"/>
    <w:rsid w:val="002A56FA"/>
    <w:rsid w:val="002B2649"/>
    <w:rsid w:val="002B5B75"/>
    <w:rsid w:val="002B6D62"/>
    <w:rsid w:val="002C7062"/>
    <w:rsid w:val="002D4CFF"/>
    <w:rsid w:val="002E2534"/>
    <w:rsid w:val="002F13FB"/>
    <w:rsid w:val="002F3DE6"/>
    <w:rsid w:val="00307C3C"/>
    <w:rsid w:val="003148A3"/>
    <w:rsid w:val="00335793"/>
    <w:rsid w:val="0034067C"/>
    <w:rsid w:val="00371366"/>
    <w:rsid w:val="00377C6E"/>
    <w:rsid w:val="003844F2"/>
    <w:rsid w:val="003E07AA"/>
    <w:rsid w:val="003F60E1"/>
    <w:rsid w:val="004139F8"/>
    <w:rsid w:val="00414BA2"/>
    <w:rsid w:val="00420DB4"/>
    <w:rsid w:val="00437C0F"/>
    <w:rsid w:val="00457DD2"/>
    <w:rsid w:val="00461003"/>
    <w:rsid w:val="004707B1"/>
    <w:rsid w:val="004753B8"/>
    <w:rsid w:val="00477B5E"/>
    <w:rsid w:val="00481C07"/>
    <w:rsid w:val="00486052"/>
    <w:rsid w:val="004A59E2"/>
    <w:rsid w:val="004C06A4"/>
    <w:rsid w:val="004C4F14"/>
    <w:rsid w:val="004D1B1C"/>
    <w:rsid w:val="004D5127"/>
    <w:rsid w:val="004E61B2"/>
    <w:rsid w:val="004F3FD7"/>
    <w:rsid w:val="004F5341"/>
    <w:rsid w:val="00501379"/>
    <w:rsid w:val="00514E31"/>
    <w:rsid w:val="00535A6F"/>
    <w:rsid w:val="00537D4D"/>
    <w:rsid w:val="005415A0"/>
    <w:rsid w:val="0054460D"/>
    <w:rsid w:val="0056444A"/>
    <w:rsid w:val="00572412"/>
    <w:rsid w:val="00573ECB"/>
    <w:rsid w:val="00596253"/>
    <w:rsid w:val="005B0A04"/>
    <w:rsid w:val="005B1199"/>
    <w:rsid w:val="005B785C"/>
    <w:rsid w:val="005B7968"/>
    <w:rsid w:val="005C4B3A"/>
    <w:rsid w:val="005C5D24"/>
    <w:rsid w:val="005D37F5"/>
    <w:rsid w:val="005D4E56"/>
    <w:rsid w:val="005F19CD"/>
    <w:rsid w:val="00602FAF"/>
    <w:rsid w:val="0061271E"/>
    <w:rsid w:val="0061519B"/>
    <w:rsid w:val="006200FD"/>
    <w:rsid w:val="00623B5A"/>
    <w:rsid w:val="006413D6"/>
    <w:rsid w:val="00642696"/>
    <w:rsid w:val="00644144"/>
    <w:rsid w:val="00646976"/>
    <w:rsid w:val="00646F2F"/>
    <w:rsid w:val="0066476C"/>
    <w:rsid w:val="0066640A"/>
    <w:rsid w:val="00670402"/>
    <w:rsid w:val="006721D9"/>
    <w:rsid w:val="00677045"/>
    <w:rsid w:val="006A7819"/>
    <w:rsid w:val="006A7F27"/>
    <w:rsid w:val="006B11EE"/>
    <w:rsid w:val="006C2EAD"/>
    <w:rsid w:val="006C720A"/>
    <w:rsid w:val="006D4EB7"/>
    <w:rsid w:val="006D5B10"/>
    <w:rsid w:val="006E0C7E"/>
    <w:rsid w:val="006E3D9E"/>
    <w:rsid w:val="006E7236"/>
    <w:rsid w:val="006F3CE1"/>
    <w:rsid w:val="006F6259"/>
    <w:rsid w:val="006F78E8"/>
    <w:rsid w:val="0070295C"/>
    <w:rsid w:val="00715F2C"/>
    <w:rsid w:val="00733471"/>
    <w:rsid w:val="007607E4"/>
    <w:rsid w:val="00762E3A"/>
    <w:rsid w:val="00786E2B"/>
    <w:rsid w:val="00792F32"/>
    <w:rsid w:val="007C10A2"/>
    <w:rsid w:val="007C67AD"/>
    <w:rsid w:val="007E7FE7"/>
    <w:rsid w:val="0082494E"/>
    <w:rsid w:val="00846F9C"/>
    <w:rsid w:val="00874966"/>
    <w:rsid w:val="00885EDB"/>
    <w:rsid w:val="008A1F3D"/>
    <w:rsid w:val="008A2F96"/>
    <w:rsid w:val="008A3E7F"/>
    <w:rsid w:val="008B20CA"/>
    <w:rsid w:val="008C4ACF"/>
    <w:rsid w:val="008D160E"/>
    <w:rsid w:val="008E4D11"/>
    <w:rsid w:val="008F225C"/>
    <w:rsid w:val="009025A7"/>
    <w:rsid w:val="0090423F"/>
    <w:rsid w:val="009108BE"/>
    <w:rsid w:val="00912A49"/>
    <w:rsid w:val="0093460A"/>
    <w:rsid w:val="00950F12"/>
    <w:rsid w:val="00950F24"/>
    <w:rsid w:val="00963D4C"/>
    <w:rsid w:val="00964CA0"/>
    <w:rsid w:val="00972756"/>
    <w:rsid w:val="00991333"/>
    <w:rsid w:val="009929CE"/>
    <w:rsid w:val="009D6812"/>
    <w:rsid w:val="009E3028"/>
    <w:rsid w:val="009F0F9C"/>
    <w:rsid w:val="009F311B"/>
    <w:rsid w:val="009F4E49"/>
    <w:rsid w:val="00A055D8"/>
    <w:rsid w:val="00A14B00"/>
    <w:rsid w:val="00A54A05"/>
    <w:rsid w:val="00A60FFA"/>
    <w:rsid w:val="00A64C21"/>
    <w:rsid w:val="00A90351"/>
    <w:rsid w:val="00A914DD"/>
    <w:rsid w:val="00A91900"/>
    <w:rsid w:val="00AB0F3A"/>
    <w:rsid w:val="00AC2EA9"/>
    <w:rsid w:val="00AD45D7"/>
    <w:rsid w:val="00AF377B"/>
    <w:rsid w:val="00B07918"/>
    <w:rsid w:val="00B112B6"/>
    <w:rsid w:val="00B15840"/>
    <w:rsid w:val="00B30074"/>
    <w:rsid w:val="00B304B2"/>
    <w:rsid w:val="00B53CC4"/>
    <w:rsid w:val="00B56F5A"/>
    <w:rsid w:val="00B64233"/>
    <w:rsid w:val="00B84DFC"/>
    <w:rsid w:val="00B871EC"/>
    <w:rsid w:val="00BA370F"/>
    <w:rsid w:val="00BA3D1B"/>
    <w:rsid w:val="00BA682A"/>
    <w:rsid w:val="00BB585F"/>
    <w:rsid w:val="00BC563D"/>
    <w:rsid w:val="00BE11AE"/>
    <w:rsid w:val="00C20170"/>
    <w:rsid w:val="00C26BD2"/>
    <w:rsid w:val="00C33DBF"/>
    <w:rsid w:val="00C51F18"/>
    <w:rsid w:val="00C56E74"/>
    <w:rsid w:val="00C57B05"/>
    <w:rsid w:val="00C7397C"/>
    <w:rsid w:val="00C76A24"/>
    <w:rsid w:val="00C90983"/>
    <w:rsid w:val="00C90C4D"/>
    <w:rsid w:val="00C92F4C"/>
    <w:rsid w:val="00CB55CD"/>
    <w:rsid w:val="00CC0071"/>
    <w:rsid w:val="00CC4178"/>
    <w:rsid w:val="00CD70D9"/>
    <w:rsid w:val="00CE5563"/>
    <w:rsid w:val="00CE6655"/>
    <w:rsid w:val="00CF5B3C"/>
    <w:rsid w:val="00D04208"/>
    <w:rsid w:val="00D05F18"/>
    <w:rsid w:val="00D20E82"/>
    <w:rsid w:val="00D314D0"/>
    <w:rsid w:val="00D36D1B"/>
    <w:rsid w:val="00D43803"/>
    <w:rsid w:val="00D4607A"/>
    <w:rsid w:val="00D46144"/>
    <w:rsid w:val="00D54895"/>
    <w:rsid w:val="00D54EA1"/>
    <w:rsid w:val="00D647F6"/>
    <w:rsid w:val="00D72C55"/>
    <w:rsid w:val="00D80EF2"/>
    <w:rsid w:val="00D917F0"/>
    <w:rsid w:val="00D93162"/>
    <w:rsid w:val="00D97781"/>
    <w:rsid w:val="00DA36BC"/>
    <w:rsid w:val="00DB5A23"/>
    <w:rsid w:val="00E150EC"/>
    <w:rsid w:val="00E4785E"/>
    <w:rsid w:val="00E555DB"/>
    <w:rsid w:val="00E56C24"/>
    <w:rsid w:val="00E846D1"/>
    <w:rsid w:val="00E86639"/>
    <w:rsid w:val="00E9110A"/>
    <w:rsid w:val="00E9128A"/>
    <w:rsid w:val="00E9130C"/>
    <w:rsid w:val="00EC114C"/>
    <w:rsid w:val="00EC58FA"/>
    <w:rsid w:val="00ED3146"/>
    <w:rsid w:val="00EE3E3D"/>
    <w:rsid w:val="00EF32B2"/>
    <w:rsid w:val="00EF6757"/>
    <w:rsid w:val="00F0501C"/>
    <w:rsid w:val="00F21043"/>
    <w:rsid w:val="00F37460"/>
    <w:rsid w:val="00F42D51"/>
    <w:rsid w:val="00F46E91"/>
    <w:rsid w:val="00F532FE"/>
    <w:rsid w:val="00F66718"/>
    <w:rsid w:val="00F7723D"/>
    <w:rsid w:val="00F87B10"/>
    <w:rsid w:val="00FA740C"/>
    <w:rsid w:val="00FC2815"/>
    <w:rsid w:val="00FC5D40"/>
    <w:rsid w:val="00FC7842"/>
    <w:rsid w:val="00FD250E"/>
    <w:rsid w:val="00FE0C12"/>
    <w:rsid w:val="00FE7B09"/>
    <w:rsid w:val="00FF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C7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4F2"/>
  </w:style>
  <w:style w:type="paragraph" w:styleId="Heading1">
    <w:name w:val="heading 1"/>
    <w:basedOn w:val="Normal"/>
    <w:next w:val="Normal"/>
    <w:link w:val="Heading1Char"/>
    <w:uiPriority w:val="9"/>
    <w:qFormat/>
    <w:rsid w:val="003844F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autoRedefine/>
    <w:uiPriority w:val="9"/>
    <w:unhideWhenUsed/>
    <w:qFormat/>
    <w:rsid w:val="00D43803"/>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line="276" w:lineRule="auto"/>
      <w:ind w:left="720" w:firstLine="0"/>
      <w:outlineLvl w:val="1"/>
    </w:pPr>
    <w:rPr>
      <w:rFonts w:asciiTheme="majorHAnsi" w:eastAsia="Times New Roman" w:hAnsiTheme="majorHAnsi" w:cstheme="majorBidi"/>
      <w:b/>
      <w:bCs/>
      <w:iCs/>
      <w:sz w:val="28"/>
      <w:szCs w:val="28"/>
    </w:rPr>
  </w:style>
  <w:style w:type="paragraph" w:styleId="Heading3">
    <w:name w:val="heading 3"/>
    <w:basedOn w:val="Normal"/>
    <w:next w:val="Normal"/>
    <w:link w:val="Heading3Char"/>
    <w:autoRedefine/>
    <w:uiPriority w:val="9"/>
    <w:unhideWhenUsed/>
    <w:qFormat/>
    <w:rsid w:val="0082494E"/>
    <w:pPr>
      <w:keepNext/>
      <w:pBdr>
        <w:top w:val="single" w:sz="6" w:space="2" w:color="4F81BD" w:themeColor="accent1"/>
        <w:left w:val="single" w:sz="6" w:space="2" w:color="4F81BD" w:themeColor="accent1"/>
      </w:pBdr>
      <w:spacing w:before="240" w:after="120" w:line="240" w:lineRule="auto"/>
      <w:ind w:left="720" w:firstLine="0"/>
      <w:outlineLvl w:val="2"/>
    </w:pPr>
    <w:rPr>
      <w:rFonts w:asciiTheme="majorHAnsi" w:eastAsia="Times New Roman" w:hAnsiTheme="majorHAnsi" w:cstheme="majorBidi"/>
      <w:b/>
      <w:bCs/>
      <w:i/>
      <w:iCs/>
      <w:sz w:val="24"/>
      <w:szCs w:val="26"/>
    </w:rPr>
  </w:style>
  <w:style w:type="paragraph" w:styleId="Heading4">
    <w:name w:val="heading 4"/>
    <w:basedOn w:val="Normal"/>
    <w:next w:val="Normal"/>
    <w:link w:val="Heading4Char"/>
    <w:uiPriority w:val="9"/>
    <w:unhideWhenUsed/>
    <w:qFormat/>
    <w:rsid w:val="003844F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3844F2"/>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844F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844F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844F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844F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46822"/>
    <w:pPr>
      <w:spacing w:line="360" w:lineRule="auto"/>
      <w:ind w:left="1440" w:right="1440"/>
      <w:jc w:val="center"/>
    </w:pPr>
  </w:style>
  <w:style w:type="paragraph" w:styleId="BodyTextIndent">
    <w:name w:val="Body Text Indent"/>
    <w:basedOn w:val="Normal"/>
    <w:link w:val="BodyTextIndentChar"/>
    <w:rsid w:val="00246822"/>
    <w:pPr>
      <w:spacing w:before="120"/>
      <w:ind w:left="1440" w:hanging="720"/>
    </w:pPr>
  </w:style>
  <w:style w:type="paragraph" w:customStyle="1" w:styleId="description">
    <w:name w:val="description"/>
    <w:basedOn w:val="Normal"/>
    <w:autoRedefine/>
    <w:rsid w:val="00246822"/>
    <w:pPr>
      <w:ind w:left="1080" w:right="1080"/>
      <w:jc w:val="both"/>
    </w:pPr>
  </w:style>
  <w:style w:type="paragraph" w:styleId="Footer">
    <w:name w:val="footer"/>
    <w:basedOn w:val="Normal"/>
    <w:rsid w:val="00246822"/>
    <w:pPr>
      <w:tabs>
        <w:tab w:val="center" w:pos="4320"/>
        <w:tab w:val="right" w:pos="8640"/>
      </w:tabs>
    </w:pPr>
  </w:style>
  <w:style w:type="character" w:styleId="FootnoteReference">
    <w:name w:val="footnote reference"/>
    <w:basedOn w:val="DefaultParagraphFont"/>
    <w:rsid w:val="00246822"/>
    <w:rPr>
      <w:vertAlign w:val="superscript"/>
    </w:rPr>
  </w:style>
  <w:style w:type="paragraph" w:styleId="FootnoteText">
    <w:name w:val="footnote text"/>
    <w:basedOn w:val="Normal"/>
    <w:link w:val="FootnoteTextChar"/>
    <w:autoRedefine/>
    <w:rsid w:val="00972756"/>
    <w:pPr>
      <w:spacing w:after="120" w:line="240" w:lineRule="auto"/>
      <w:ind w:left="360" w:hanging="360"/>
    </w:pPr>
    <w:rPr>
      <w:sz w:val="20"/>
    </w:rPr>
  </w:style>
  <w:style w:type="paragraph" w:styleId="Header">
    <w:name w:val="header"/>
    <w:basedOn w:val="Normal"/>
    <w:link w:val="HeaderChar"/>
    <w:uiPriority w:val="99"/>
    <w:rsid w:val="00246822"/>
    <w:pPr>
      <w:tabs>
        <w:tab w:val="center" w:pos="4320"/>
        <w:tab w:val="right" w:pos="8640"/>
      </w:tabs>
    </w:pPr>
  </w:style>
  <w:style w:type="paragraph" w:styleId="NormalIndent">
    <w:name w:val="Normal Indent"/>
    <w:basedOn w:val="Normal"/>
    <w:rsid w:val="00246822"/>
    <w:pPr>
      <w:ind w:left="720"/>
    </w:pPr>
  </w:style>
  <w:style w:type="paragraph" w:styleId="List">
    <w:name w:val="List"/>
    <w:basedOn w:val="Normal"/>
    <w:rsid w:val="00246822"/>
    <w:pPr>
      <w:ind w:left="720" w:hanging="720"/>
    </w:pPr>
  </w:style>
  <w:style w:type="character" w:styleId="PageNumber">
    <w:name w:val="page number"/>
    <w:basedOn w:val="DefaultParagraphFont"/>
    <w:rsid w:val="00246822"/>
  </w:style>
  <w:style w:type="paragraph" w:customStyle="1" w:styleId="Postquote">
    <w:name w:val="Postquote"/>
    <w:basedOn w:val="FootnoteText"/>
    <w:next w:val="Normal"/>
    <w:autoRedefine/>
    <w:rsid w:val="00335793"/>
    <w:pPr>
      <w:spacing w:line="480" w:lineRule="auto"/>
      <w:ind w:left="0" w:firstLine="0"/>
    </w:pPr>
    <w:rPr>
      <w:sz w:val="22"/>
    </w:rPr>
  </w:style>
  <w:style w:type="paragraph" w:customStyle="1" w:styleId="QU">
    <w:name w:val="QU"/>
    <w:next w:val="Postquote"/>
    <w:autoRedefine/>
    <w:rsid w:val="00335793"/>
    <w:pPr>
      <w:overflowPunct w:val="0"/>
      <w:autoSpaceDE w:val="0"/>
      <w:autoSpaceDN w:val="0"/>
      <w:adjustRightInd w:val="0"/>
      <w:spacing w:before="120" w:after="120" w:line="240" w:lineRule="auto"/>
      <w:ind w:left="720" w:right="720"/>
      <w:jc w:val="both"/>
      <w:textAlignment w:val="baseline"/>
    </w:pPr>
    <w:rPr>
      <w:rFonts w:ascii="Calibri" w:hAnsi="Calibri"/>
      <w:szCs w:val="24"/>
    </w:rPr>
  </w:style>
  <w:style w:type="paragraph" w:styleId="Quote">
    <w:name w:val="Quote"/>
    <w:basedOn w:val="Normal"/>
    <w:next w:val="Normal"/>
    <w:link w:val="QuoteChar"/>
    <w:uiPriority w:val="29"/>
    <w:qFormat/>
    <w:rsid w:val="003844F2"/>
    <w:rPr>
      <w:color w:val="5A5A5A" w:themeColor="text1" w:themeTint="A5"/>
    </w:rPr>
  </w:style>
  <w:style w:type="paragraph" w:styleId="Title">
    <w:name w:val="Title"/>
    <w:basedOn w:val="Normal"/>
    <w:next w:val="Normal"/>
    <w:link w:val="TitleChar"/>
    <w:uiPriority w:val="10"/>
    <w:qFormat/>
    <w:rsid w:val="003844F2"/>
    <w:pPr>
      <w:spacing w:line="240" w:lineRule="auto"/>
      <w:ind w:firstLine="0"/>
    </w:pPr>
    <w:rPr>
      <w:rFonts w:asciiTheme="majorHAnsi" w:eastAsiaTheme="majorEastAsia" w:hAnsiTheme="majorHAnsi" w:cstheme="majorBidi"/>
      <w:b/>
      <w:bCs/>
      <w:i/>
      <w:iCs/>
      <w:spacing w:val="10"/>
      <w:sz w:val="60"/>
      <w:szCs w:val="60"/>
    </w:rPr>
  </w:style>
  <w:style w:type="paragraph" w:customStyle="1" w:styleId="Sub-Title">
    <w:name w:val="Sub-Title"/>
    <w:basedOn w:val="Title"/>
    <w:rsid w:val="00246822"/>
    <w:pPr>
      <w:spacing w:before="240"/>
    </w:pPr>
    <w:rPr>
      <w:sz w:val="28"/>
    </w:rPr>
  </w:style>
  <w:style w:type="paragraph" w:customStyle="1" w:styleId="B2">
    <w:name w:val="B2"/>
    <w:basedOn w:val="Normal"/>
    <w:autoRedefine/>
    <w:rsid w:val="00246822"/>
    <w:pPr>
      <w:ind w:left="2160" w:hanging="1440"/>
    </w:pPr>
  </w:style>
  <w:style w:type="paragraph" w:customStyle="1" w:styleId="FN">
    <w:name w:val="FN"/>
    <w:autoRedefine/>
    <w:rsid w:val="00246822"/>
    <w:pPr>
      <w:spacing w:after="120" w:line="240" w:lineRule="atLeast"/>
      <w:ind w:left="720" w:hanging="720"/>
    </w:pPr>
    <w:rPr>
      <w:rFonts w:ascii="CG Times" w:hAnsi="CG Times"/>
      <w:sz w:val="24"/>
    </w:rPr>
  </w:style>
  <w:style w:type="paragraph" w:customStyle="1" w:styleId="poem">
    <w:name w:val="poem"/>
    <w:basedOn w:val="Normal"/>
    <w:autoRedefine/>
    <w:rsid w:val="00246822"/>
    <w:pPr>
      <w:overflowPunct w:val="0"/>
      <w:autoSpaceDE w:val="0"/>
      <w:autoSpaceDN w:val="0"/>
      <w:adjustRightInd w:val="0"/>
      <w:spacing w:before="240" w:line="240" w:lineRule="atLeast"/>
      <w:ind w:left="720" w:right="720"/>
      <w:jc w:val="center"/>
      <w:textAlignment w:val="baseline"/>
    </w:pPr>
  </w:style>
  <w:style w:type="paragraph" w:styleId="BodyTextIndent2">
    <w:name w:val="Body Text Indent 2"/>
    <w:basedOn w:val="Normal"/>
    <w:rsid w:val="00246822"/>
    <w:pPr>
      <w:jc w:val="both"/>
    </w:pPr>
  </w:style>
  <w:style w:type="paragraph" w:styleId="EndnoteText">
    <w:name w:val="endnote text"/>
    <w:basedOn w:val="Normal"/>
    <w:link w:val="EndnoteTextChar"/>
    <w:autoRedefine/>
    <w:semiHidden/>
    <w:rsid w:val="00246822"/>
  </w:style>
  <w:style w:type="character" w:styleId="EndnoteReference">
    <w:name w:val="endnote reference"/>
    <w:basedOn w:val="DefaultParagraphFont"/>
    <w:semiHidden/>
    <w:rsid w:val="00246822"/>
    <w:rPr>
      <w:vertAlign w:val="superscript"/>
    </w:rPr>
  </w:style>
  <w:style w:type="paragraph" w:customStyle="1" w:styleId="Footnoterefernce">
    <w:name w:val="Footnote refernce"/>
    <w:basedOn w:val="Normal"/>
    <w:autoRedefine/>
    <w:rsid w:val="00246822"/>
    <w:rPr>
      <w:position w:val="6"/>
      <w:vertAlign w:val="superscript"/>
    </w:rPr>
  </w:style>
  <w:style w:type="paragraph" w:customStyle="1" w:styleId="author">
    <w:name w:val="author"/>
    <w:basedOn w:val="Title"/>
    <w:next w:val="Normal"/>
    <w:autoRedefine/>
    <w:rsid w:val="0090423F"/>
    <w:pPr>
      <w:jc w:val="center"/>
    </w:pPr>
    <w:rPr>
      <w:sz w:val="20"/>
    </w:rPr>
  </w:style>
  <w:style w:type="paragraph" w:customStyle="1" w:styleId="box">
    <w:name w:val="box"/>
    <w:basedOn w:val="B2"/>
    <w:autoRedefine/>
    <w:rsid w:val="00246822"/>
    <w:pPr>
      <w:pBdr>
        <w:top w:val="single" w:sz="4" w:space="1" w:color="auto"/>
        <w:left w:val="single" w:sz="4" w:space="4" w:color="auto"/>
        <w:bottom w:val="single" w:sz="4" w:space="1" w:color="auto"/>
        <w:right w:val="single" w:sz="4" w:space="4" w:color="auto"/>
      </w:pBdr>
      <w:spacing w:before="120"/>
      <w:ind w:left="144" w:right="144" w:firstLine="0"/>
      <w:jc w:val="both"/>
    </w:pPr>
    <w:rPr>
      <w:i/>
    </w:rPr>
  </w:style>
  <w:style w:type="paragraph" w:styleId="BodyTextIndent3">
    <w:name w:val="Body Text Indent 3"/>
    <w:basedOn w:val="Normal"/>
    <w:rsid w:val="00246822"/>
  </w:style>
  <w:style w:type="paragraph" w:customStyle="1" w:styleId="AU">
    <w:name w:val="AU"/>
    <w:basedOn w:val="Title"/>
    <w:next w:val="Normal"/>
    <w:autoRedefine/>
    <w:rsid w:val="00246822"/>
    <w:rPr>
      <w:sz w:val="20"/>
    </w:rPr>
  </w:style>
  <w:style w:type="paragraph" w:styleId="NormalWeb">
    <w:name w:val="Normal (Web)"/>
    <w:basedOn w:val="Normal"/>
    <w:rsid w:val="00246822"/>
    <w:pPr>
      <w:spacing w:before="100" w:beforeAutospacing="1" w:after="100" w:afterAutospacing="1"/>
    </w:pPr>
    <w:rPr>
      <w:rFonts w:ascii="Verdana" w:eastAsia="Arial Unicode MS" w:hAnsi="Verdana" w:cs="Arial Unicode MS"/>
      <w:color w:val="000000"/>
    </w:rPr>
  </w:style>
  <w:style w:type="character" w:styleId="Hyperlink">
    <w:name w:val="Hyperlink"/>
    <w:basedOn w:val="DefaultParagraphFont"/>
    <w:rsid w:val="00246822"/>
    <w:rPr>
      <w:color w:val="0000FF"/>
      <w:u w:val="single"/>
    </w:rPr>
  </w:style>
  <w:style w:type="paragraph" w:customStyle="1" w:styleId="B1">
    <w:name w:val="B1"/>
    <w:basedOn w:val="Normal"/>
    <w:autoRedefine/>
    <w:rsid w:val="00246822"/>
    <w:pPr>
      <w:spacing w:before="120" w:line="240" w:lineRule="atLeast"/>
      <w:ind w:left="720" w:hanging="720"/>
    </w:pPr>
    <w:rPr>
      <w:iCs/>
      <w:color w:val="000000"/>
    </w:rPr>
  </w:style>
  <w:style w:type="paragraph" w:customStyle="1" w:styleId="Author0">
    <w:name w:val="Author"/>
    <w:basedOn w:val="Title"/>
    <w:next w:val="Normal"/>
    <w:autoRedefine/>
    <w:rsid w:val="00246822"/>
    <w:pPr>
      <w:ind w:left="720" w:right="720"/>
    </w:pPr>
    <w:rPr>
      <w:sz w:val="20"/>
    </w:rPr>
  </w:style>
  <w:style w:type="paragraph" w:customStyle="1" w:styleId="StyleBefore12pt">
    <w:name w:val="Style Before:  12 pt"/>
    <w:basedOn w:val="Normal"/>
    <w:autoRedefine/>
    <w:rsid w:val="00246822"/>
  </w:style>
  <w:style w:type="paragraph" w:customStyle="1" w:styleId="StyleHeading1Left05Firstline0">
    <w:name w:val="Style Heading 1 + Left:  0.5&quot; First line:  0&quot;"/>
    <w:basedOn w:val="Heading1"/>
    <w:rsid w:val="00246822"/>
    <w:rPr>
      <w:szCs w:val="20"/>
    </w:rPr>
  </w:style>
  <w:style w:type="character" w:styleId="Strong">
    <w:name w:val="Strong"/>
    <w:basedOn w:val="DefaultParagraphFont"/>
    <w:uiPriority w:val="22"/>
    <w:qFormat/>
    <w:rsid w:val="003844F2"/>
    <w:rPr>
      <w:b/>
      <w:bCs/>
      <w:spacing w:val="0"/>
    </w:rPr>
  </w:style>
  <w:style w:type="paragraph" w:customStyle="1" w:styleId="StyleHeading112pt">
    <w:name w:val="Style Heading 1 + 12 pt"/>
    <w:basedOn w:val="Heading1"/>
    <w:autoRedefine/>
    <w:rsid w:val="00246822"/>
  </w:style>
  <w:style w:type="paragraph" w:customStyle="1" w:styleId="StyleHeading212pt">
    <w:name w:val="Style Heading 2 + 12 pt"/>
    <w:basedOn w:val="Heading2"/>
    <w:autoRedefine/>
    <w:rsid w:val="00246822"/>
    <w:pPr>
      <w:ind w:left="1152" w:hanging="720"/>
    </w:pPr>
  </w:style>
  <w:style w:type="character" w:customStyle="1" w:styleId="Heading2Char">
    <w:name w:val="Heading 2 Char"/>
    <w:basedOn w:val="DefaultParagraphFont"/>
    <w:link w:val="Heading2"/>
    <w:uiPriority w:val="9"/>
    <w:rsid w:val="00D43803"/>
    <w:rPr>
      <w:rFonts w:asciiTheme="majorHAnsi" w:eastAsia="Times New Roman" w:hAnsiTheme="majorHAnsi" w:cstheme="majorBidi"/>
      <w:b/>
      <w:bCs/>
      <w:iCs/>
      <w:sz w:val="28"/>
      <w:szCs w:val="28"/>
      <w:shd w:val="clear" w:color="auto" w:fill="DBE5F1" w:themeFill="accent1" w:themeFillTint="33"/>
    </w:rPr>
  </w:style>
  <w:style w:type="character" w:customStyle="1" w:styleId="Heading1Char">
    <w:name w:val="Heading 1 Char"/>
    <w:basedOn w:val="DefaultParagraphFont"/>
    <w:link w:val="Heading1"/>
    <w:uiPriority w:val="9"/>
    <w:rsid w:val="003844F2"/>
    <w:rPr>
      <w:rFonts w:asciiTheme="majorHAnsi" w:eastAsiaTheme="majorEastAsia" w:hAnsiTheme="majorHAnsi" w:cstheme="majorBidi"/>
      <w:b/>
      <w:bCs/>
      <w:i/>
      <w:iCs/>
      <w:sz w:val="32"/>
      <w:szCs w:val="32"/>
    </w:rPr>
  </w:style>
  <w:style w:type="paragraph" w:styleId="BalloonText">
    <w:name w:val="Balloon Text"/>
    <w:basedOn w:val="Normal"/>
    <w:link w:val="BalloonTextChar"/>
    <w:rsid w:val="00246822"/>
    <w:pPr>
      <w:spacing w:after="0"/>
    </w:pPr>
    <w:rPr>
      <w:rFonts w:ascii="Tahoma" w:hAnsi="Tahoma" w:cs="Tahoma"/>
      <w:sz w:val="16"/>
      <w:szCs w:val="16"/>
    </w:rPr>
  </w:style>
  <w:style w:type="character" w:customStyle="1" w:styleId="BalloonTextChar">
    <w:name w:val="Balloon Text Char"/>
    <w:basedOn w:val="DefaultParagraphFont"/>
    <w:link w:val="BalloonText"/>
    <w:rsid w:val="00246822"/>
    <w:rPr>
      <w:rFonts w:ascii="Tahoma" w:hAnsi="Tahoma" w:cs="Tahoma"/>
      <w:sz w:val="16"/>
      <w:szCs w:val="16"/>
    </w:rPr>
  </w:style>
  <w:style w:type="character" w:customStyle="1" w:styleId="EndnoteTextChar">
    <w:name w:val="Endnote Text Char"/>
    <w:basedOn w:val="DefaultParagraphFont"/>
    <w:link w:val="EndnoteText"/>
    <w:semiHidden/>
    <w:rsid w:val="009F311B"/>
    <w:rPr>
      <w:rFonts w:ascii="Calibri" w:hAnsi="Calibri"/>
      <w:sz w:val="22"/>
      <w:szCs w:val="24"/>
    </w:rPr>
  </w:style>
  <w:style w:type="character" w:customStyle="1" w:styleId="Heading3Char">
    <w:name w:val="Heading 3 Char"/>
    <w:basedOn w:val="DefaultParagraphFont"/>
    <w:link w:val="Heading3"/>
    <w:uiPriority w:val="9"/>
    <w:rsid w:val="0082494E"/>
    <w:rPr>
      <w:rFonts w:asciiTheme="majorHAnsi" w:eastAsia="Times New Roman" w:hAnsiTheme="majorHAnsi" w:cstheme="majorBidi"/>
      <w:b/>
      <w:bCs/>
      <w:i/>
      <w:iCs/>
      <w:sz w:val="24"/>
      <w:szCs w:val="26"/>
    </w:rPr>
  </w:style>
  <w:style w:type="character" w:customStyle="1" w:styleId="FootnoteTextChar">
    <w:name w:val="Footnote Text Char"/>
    <w:basedOn w:val="DefaultParagraphFont"/>
    <w:link w:val="FootnoteText"/>
    <w:rsid w:val="00972756"/>
    <w:rPr>
      <w:sz w:val="20"/>
    </w:rPr>
  </w:style>
  <w:style w:type="paragraph" w:styleId="ListParagraph">
    <w:name w:val="List Paragraph"/>
    <w:basedOn w:val="Normal"/>
    <w:uiPriority w:val="34"/>
    <w:qFormat/>
    <w:rsid w:val="003844F2"/>
    <w:pPr>
      <w:ind w:left="720"/>
      <w:contextualSpacing/>
    </w:pPr>
  </w:style>
  <w:style w:type="character" w:customStyle="1" w:styleId="HeaderChar">
    <w:name w:val="Header Char"/>
    <w:basedOn w:val="DefaultParagraphFont"/>
    <w:link w:val="Header"/>
    <w:uiPriority w:val="99"/>
    <w:rsid w:val="00602FAF"/>
    <w:rPr>
      <w:rFonts w:ascii="Calibri" w:hAnsi="Calibri"/>
      <w:sz w:val="22"/>
      <w:szCs w:val="24"/>
    </w:rPr>
  </w:style>
  <w:style w:type="character" w:customStyle="1" w:styleId="Heading4Char">
    <w:name w:val="Heading 4 Char"/>
    <w:basedOn w:val="DefaultParagraphFont"/>
    <w:link w:val="Heading4"/>
    <w:uiPriority w:val="9"/>
    <w:rsid w:val="003844F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3844F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844F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844F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844F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844F2"/>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3844F2"/>
    <w:rPr>
      <w:b/>
      <w:bCs/>
      <w:sz w:val="18"/>
      <w:szCs w:val="18"/>
    </w:rPr>
  </w:style>
  <w:style w:type="character" w:customStyle="1" w:styleId="TitleChar">
    <w:name w:val="Title Char"/>
    <w:basedOn w:val="DefaultParagraphFont"/>
    <w:link w:val="Title"/>
    <w:uiPriority w:val="10"/>
    <w:rsid w:val="003844F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844F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3844F2"/>
    <w:rPr>
      <w:i/>
      <w:iCs/>
      <w:color w:val="808080" w:themeColor="text1" w:themeTint="7F"/>
      <w:spacing w:val="10"/>
      <w:sz w:val="24"/>
      <w:szCs w:val="24"/>
    </w:rPr>
  </w:style>
  <w:style w:type="character" w:styleId="Emphasis">
    <w:name w:val="Emphasis"/>
    <w:uiPriority w:val="20"/>
    <w:qFormat/>
    <w:rsid w:val="003844F2"/>
    <w:rPr>
      <w:b/>
      <w:bCs/>
      <w:i/>
      <w:iCs/>
      <w:color w:val="auto"/>
    </w:rPr>
  </w:style>
  <w:style w:type="paragraph" w:styleId="NoSpacing">
    <w:name w:val="No Spacing"/>
    <w:basedOn w:val="Normal"/>
    <w:link w:val="NoSpacingChar"/>
    <w:uiPriority w:val="1"/>
    <w:qFormat/>
    <w:rsid w:val="003844F2"/>
    <w:pPr>
      <w:spacing w:after="0" w:line="240" w:lineRule="auto"/>
      <w:ind w:firstLine="0"/>
    </w:pPr>
  </w:style>
  <w:style w:type="character" w:customStyle="1" w:styleId="NoSpacingChar">
    <w:name w:val="No Spacing Char"/>
    <w:basedOn w:val="DefaultParagraphFont"/>
    <w:link w:val="NoSpacing"/>
    <w:uiPriority w:val="1"/>
    <w:rsid w:val="0090423F"/>
  </w:style>
  <w:style w:type="character" w:customStyle="1" w:styleId="QuoteChar">
    <w:name w:val="Quote Char"/>
    <w:basedOn w:val="DefaultParagraphFont"/>
    <w:link w:val="Quote"/>
    <w:uiPriority w:val="29"/>
    <w:rsid w:val="003844F2"/>
    <w:rPr>
      <w:rFonts w:asciiTheme="minorHAnsi"/>
      <w:color w:val="5A5A5A" w:themeColor="text1" w:themeTint="A5"/>
    </w:rPr>
  </w:style>
  <w:style w:type="paragraph" w:styleId="IntenseQuote">
    <w:name w:val="Intense Quote"/>
    <w:basedOn w:val="Normal"/>
    <w:next w:val="Normal"/>
    <w:link w:val="IntenseQuoteChar"/>
    <w:uiPriority w:val="30"/>
    <w:qFormat/>
    <w:rsid w:val="003844F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844F2"/>
    <w:rPr>
      <w:rFonts w:asciiTheme="majorHAnsi" w:eastAsiaTheme="majorEastAsia" w:hAnsiTheme="majorHAnsi" w:cstheme="majorBidi"/>
      <w:i/>
      <w:iCs/>
      <w:sz w:val="20"/>
      <w:szCs w:val="20"/>
    </w:rPr>
  </w:style>
  <w:style w:type="character" w:styleId="SubtleEmphasis">
    <w:name w:val="Subtle Emphasis"/>
    <w:uiPriority w:val="19"/>
    <w:qFormat/>
    <w:rsid w:val="003844F2"/>
    <w:rPr>
      <w:i/>
      <w:iCs/>
      <w:color w:val="5A5A5A" w:themeColor="text1" w:themeTint="A5"/>
    </w:rPr>
  </w:style>
  <w:style w:type="character" w:styleId="IntenseEmphasis">
    <w:name w:val="Intense Emphasis"/>
    <w:uiPriority w:val="21"/>
    <w:qFormat/>
    <w:rsid w:val="003844F2"/>
    <w:rPr>
      <w:b/>
      <w:bCs/>
      <w:i/>
      <w:iCs/>
      <w:color w:val="auto"/>
      <w:u w:val="single"/>
    </w:rPr>
  </w:style>
  <w:style w:type="character" w:styleId="SubtleReference">
    <w:name w:val="Subtle Reference"/>
    <w:uiPriority w:val="31"/>
    <w:qFormat/>
    <w:rsid w:val="003844F2"/>
    <w:rPr>
      <w:smallCaps/>
    </w:rPr>
  </w:style>
  <w:style w:type="character" w:styleId="IntenseReference">
    <w:name w:val="Intense Reference"/>
    <w:uiPriority w:val="32"/>
    <w:qFormat/>
    <w:rsid w:val="003844F2"/>
    <w:rPr>
      <w:b/>
      <w:bCs/>
      <w:smallCaps/>
      <w:color w:val="auto"/>
    </w:rPr>
  </w:style>
  <w:style w:type="character" w:styleId="BookTitle">
    <w:name w:val="Book Title"/>
    <w:uiPriority w:val="33"/>
    <w:qFormat/>
    <w:rsid w:val="003844F2"/>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844F2"/>
    <w:pPr>
      <w:outlineLvl w:val="9"/>
    </w:pPr>
  </w:style>
  <w:style w:type="character" w:customStyle="1" w:styleId="BodyTextIndentChar">
    <w:name w:val="Body Text Indent Char"/>
    <w:basedOn w:val="DefaultParagraphFont"/>
    <w:link w:val="BodyTextIndent"/>
    <w:rsid w:val="00CC4178"/>
  </w:style>
  <w:style w:type="character" w:customStyle="1" w:styleId="searchword">
    <w:name w:val="searchword"/>
    <w:basedOn w:val="DefaultParagraphFont"/>
    <w:rsid w:val="00EF32B2"/>
  </w:style>
  <w:style w:type="character" w:customStyle="1" w:styleId="apple-converted-space">
    <w:name w:val="apple-converted-space"/>
    <w:basedOn w:val="DefaultParagraphFont"/>
    <w:rsid w:val="00EF32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4F2"/>
  </w:style>
  <w:style w:type="paragraph" w:styleId="Heading1">
    <w:name w:val="heading 1"/>
    <w:basedOn w:val="Normal"/>
    <w:next w:val="Normal"/>
    <w:link w:val="Heading1Char"/>
    <w:uiPriority w:val="9"/>
    <w:qFormat/>
    <w:rsid w:val="003844F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autoRedefine/>
    <w:uiPriority w:val="9"/>
    <w:unhideWhenUsed/>
    <w:qFormat/>
    <w:rsid w:val="00D43803"/>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line="276" w:lineRule="auto"/>
      <w:ind w:left="720" w:firstLine="0"/>
      <w:outlineLvl w:val="1"/>
    </w:pPr>
    <w:rPr>
      <w:rFonts w:asciiTheme="majorHAnsi" w:eastAsia="Times New Roman" w:hAnsiTheme="majorHAnsi" w:cstheme="majorBidi"/>
      <w:b/>
      <w:bCs/>
      <w:iCs/>
      <w:sz w:val="28"/>
      <w:szCs w:val="28"/>
    </w:rPr>
  </w:style>
  <w:style w:type="paragraph" w:styleId="Heading3">
    <w:name w:val="heading 3"/>
    <w:basedOn w:val="Normal"/>
    <w:next w:val="Normal"/>
    <w:link w:val="Heading3Char"/>
    <w:autoRedefine/>
    <w:uiPriority w:val="9"/>
    <w:unhideWhenUsed/>
    <w:qFormat/>
    <w:rsid w:val="0082494E"/>
    <w:pPr>
      <w:keepNext/>
      <w:pBdr>
        <w:top w:val="single" w:sz="6" w:space="2" w:color="4F81BD" w:themeColor="accent1"/>
        <w:left w:val="single" w:sz="6" w:space="2" w:color="4F81BD" w:themeColor="accent1"/>
      </w:pBdr>
      <w:spacing w:before="240" w:after="120" w:line="240" w:lineRule="auto"/>
      <w:ind w:left="720" w:firstLine="0"/>
      <w:outlineLvl w:val="2"/>
    </w:pPr>
    <w:rPr>
      <w:rFonts w:asciiTheme="majorHAnsi" w:eastAsia="Times New Roman" w:hAnsiTheme="majorHAnsi" w:cstheme="majorBidi"/>
      <w:b/>
      <w:bCs/>
      <w:i/>
      <w:iCs/>
      <w:sz w:val="24"/>
      <w:szCs w:val="26"/>
    </w:rPr>
  </w:style>
  <w:style w:type="paragraph" w:styleId="Heading4">
    <w:name w:val="heading 4"/>
    <w:basedOn w:val="Normal"/>
    <w:next w:val="Normal"/>
    <w:link w:val="Heading4Char"/>
    <w:uiPriority w:val="9"/>
    <w:unhideWhenUsed/>
    <w:qFormat/>
    <w:rsid w:val="003844F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3844F2"/>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844F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844F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844F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844F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46822"/>
    <w:pPr>
      <w:spacing w:line="360" w:lineRule="auto"/>
      <w:ind w:left="1440" w:right="1440"/>
      <w:jc w:val="center"/>
    </w:pPr>
  </w:style>
  <w:style w:type="paragraph" w:styleId="BodyTextIndent">
    <w:name w:val="Body Text Indent"/>
    <w:basedOn w:val="Normal"/>
    <w:link w:val="BodyTextIndentChar"/>
    <w:rsid w:val="00246822"/>
    <w:pPr>
      <w:spacing w:before="120"/>
      <w:ind w:left="1440" w:hanging="720"/>
    </w:pPr>
  </w:style>
  <w:style w:type="paragraph" w:customStyle="1" w:styleId="description">
    <w:name w:val="description"/>
    <w:basedOn w:val="Normal"/>
    <w:autoRedefine/>
    <w:rsid w:val="00246822"/>
    <w:pPr>
      <w:ind w:left="1080" w:right="1080"/>
      <w:jc w:val="both"/>
    </w:pPr>
  </w:style>
  <w:style w:type="paragraph" w:styleId="Footer">
    <w:name w:val="footer"/>
    <w:basedOn w:val="Normal"/>
    <w:rsid w:val="00246822"/>
    <w:pPr>
      <w:tabs>
        <w:tab w:val="center" w:pos="4320"/>
        <w:tab w:val="right" w:pos="8640"/>
      </w:tabs>
    </w:pPr>
  </w:style>
  <w:style w:type="character" w:styleId="FootnoteReference">
    <w:name w:val="footnote reference"/>
    <w:basedOn w:val="DefaultParagraphFont"/>
    <w:rsid w:val="00246822"/>
    <w:rPr>
      <w:vertAlign w:val="superscript"/>
    </w:rPr>
  </w:style>
  <w:style w:type="paragraph" w:styleId="FootnoteText">
    <w:name w:val="footnote text"/>
    <w:basedOn w:val="Normal"/>
    <w:link w:val="FootnoteTextChar"/>
    <w:autoRedefine/>
    <w:rsid w:val="00972756"/>
    <w:pPr>
      <w:spacing w:after="120" w:line="240" w:lineRule="auto"/>
      <w:ind w:left="360" w:hanging="360"/>
    </w:pPr>
    <w:rPr>
      <w:sz w:val="20"/>
    </w:rPr>
  </w:style>
  <w:style w:type="paragraph" w:styleId="Header">
    <w:name w:val="header"/>
    <w:basedOn w:val="Normal"/>
    <w:link w:val="HeaderChar"/>
    <w:uiPriority w:val="99"/>
    <w:rsid w:val="00246822"/>
    <w:pPr>
      <w:tabs>
        <w:tab w:val="center" w:pos="4320"/>
        <w:tab w:val="right" w:pos="8640"/>
      </w:tabs>
    </w:pPr>
  </w:style>
  <w:style w:type="paragraph" w:styleId="NormalIndent">
    <w:name w:val="Normal Indent"/>
    <w:basedOn w:val="Normal"/>
    <w:rsid w:val="00246822"/>
    <w:pPr>
      <w:ind w:left="720"/>
    </w:pPr>
  </w:style>
  <w:style w:type="paragraph" w:styleId="List">
    <w:name w:val="List"/>
    <w:basedOn w:val="Normal"/>
    <w:rsid w:val="00246822"/>
    <w:pPr>
      <w:ind w:left="720" w:hanging="720"/>
    </w:pPr>
  </w:style>
  <w:style w:type="character" w:styleId="PageNumber">
    <w:name w:val="page number"/>
    <w:basedOn w:val="DefaultParagraphFont"/>
    <w:rsid w:val="00246822"/>
  </w:style>
  <w:style w:type="paragraph" w:customStyle="1" w:styleId="Postquote">
    <w:name w:val="Postquote"/>
    <w:basedOn w:val="FootnoteText"/>
    <w:next w:val="Normal"/>
    <w:autoRedefine/>
    <w:rsid w:val="00335793"/>
    <w:pPr>
      <w:spacing w:line="480" w:lineRule="auto"/>
      <w:ind w:left="0" w:firstLine="0"/>
    </w:pPr>
    <w:rPr>
      <w:sz w:val="22"/>
    </w:rPr>
  </w:style>
  <w:style w:type="paragraph" w:customStyle="1" w:styleId="QU">
    <w:name w:val="QU"/>
    <w:next w:val="Postquote"/>
    <w:autoRedefine/>
    <w:rsid w:val="00335793"/>
    <w:pPr>
      <w:overflowPunct w:val="0"/>
      <w:autoSpaceDE w:val="0"/>
      <w:autoSpaceDN w:val="0"/>
      <w:adjustRightInd w:val="0"/>
      <w:spacing w:before="120" w:after="120" w:line="240" w:lineRule="auto"/>
      <w:ind w:left="720" w:right="720"/>
      <w:jc w:val="both"/>
      <w:textAlignment w:val="baseline"/>
    </w:pPr>
    <w:rPr>
      <w:rFonts w:ascii="Calibri" w:hAnsi="Calibri"/>
      <w:szCs w:val="24"/>
    </w:rPr>
  </w:style>
  <w:style w:type="paragraph" w:styleId="Quote">
    <w:name w:val="Quote"/>
    <w:basedOn w:val="Normal"/>
    <w:next w:val="Normal"/>
    <w:link w:val="QuoteChar"/>
    <w:uiPriority w:val="29"/>
    <w:qFormat/>
    <w:rsid w:val="003844F2"/>
    <w:rPr>
      <w:color w:val="5A5A5A" w:themeColor="text1" w:themeTint="A5"/>
    </w:rPr>
  </w:style>
  <w:style w:type="paragraph" w:styleId="Title">
    <w:name w:val="Title"/>
    <w:basedOn w:val="Normal"/>
    <w:next w:val="Normal"/>
    <w:link w:val="TitleChar"/>
    <w:uiPriority w:val="10"/>
    <w:qFormat/>
    <w:rsid w:val="003844F2"/>
    <w:pPr>
      <w:spacing w:line="240" w:lineRule="auto"/>
      <w:ind w:firstLine="0"/>
    </w:pPr>
    <w:rPr>
      <w:rFonts w:asciiTheme="majorHAnsi" w:eastAsiaTheme="majorEastAsia" w:hAnsiTheme="majorHAnsi" w:cstheme="majorBidi"/>
      <w:b/>
      <w:bCs/>
      <w:i/>
      <w:iCs/>
      <w:spacing w:val="10"/>
      <w:sz w:val="60"/>
      <w:szCs w:val="60"/>
    </w:rPr>
  </w:style>
  <w:style w:type="paragraph" w:customStyle="1" w:styleId="Sub-Title">
    <w:name w:val="Sub-Title"/>
    <w:basedOn w:val="Title"/>
    <w:rsid w:val="00246822"/>
    <w:pPr>
      <w:spacing w:before="240"/>
    </w:pPr>
    <w:rPr>
      <w:sz w:val="28"/>
    </w:rPr>
  </w:style>
  <w:style w:type="paragraph" w:customStyle="1" w:styleId="B2">
    <w:name w:val="B2"/>
    <w:basedOn w:val="Normal"/>
    <w:autoRedefine/>
    <w:rsid w:val="00246822"/>
    <w:pPr>
      <w:ind w:left="2160" w:hanging="1440"/>
    </w:pPr>
  </w:style>
  <w:style w:type="paragraph" w:customStyle="1" w:styleId="FN">
    <w:name w:val="FN"/>
    <w:autoRedefine/>
    <w:rsid w:val="00246822"/>
    <w:pPr>
      <w:spacing w:after="120" w:line="240" w:lineRule="atLeast"/>
      <w:ind w:left="720" w:hanging="720"/>
    </w:pPr>
    <w:rPr>
      <w:rFonts w:ascii="CG Times" w:hAnsi="CG Times"/>
      <w:sz w:val="24"/>
    </w:rPr>
  </w:style>
  <w:style w:type="paragraph" w:customStyle="1" w:styleId="poem">
    <w:name w:val="poem"/>
    <w:basedOn w:val="Normal"/>
    <w:autoRedefine/>
    <w:rsid w:val="00246822"/>
    <w:pPr>
      <w:overflowPunct w:val="0"/>
      <w:autoSpaceDE w:val="0"/>
      <w:autoSpaceDN w:val="0"/>
      <w:adjustRightInd w:val="0"/>
      <w:spacing w:before="240" w:line="240" w:lineRule="atLeast"/>
      <w:ind w:left="720" w:right="720"/>
      <w:jc w:val="center"/>
      <w:textAlignment w:val="baseline"/>
    </w:pPr>
  </w:style>
  <w:style w:type="paragraph" w:styleId="BodyTextIndent2">
    <w:name w:val="Body Text Indent 2"/>
    <w:basedOn w:val="Normal"/>
    <w:rsid w:val="00246822"/>
    <w:pPr>
      <w:jc w:val="both"/>
    </w:pPr>
  </w:style>
  <w:style w:type="paragraph" w:styleId="EndnoteText">
    <w:name w:val="endnote text"/>
    <w:basedOn w:val="Normal"/>
    <w:link w:val="EndnoteTextChar"/>
    <w:autoRedefine/>
    <w:semiHidden/>
    <w:rsid w:val="00246822"/>
  </w:style>
  <w:style w:type="character" w:styleId="EndnoteReference">
    <w:name w:val="endnote reference"/>
    <w:basedOn w:val="DefaultParagraphFont"/>
    <w:semiHidden/>
    <w:rsid w:val="00246822"/>
    <w:rPr>
      <w:vertAlign w:val="superscript"/>
    </w:rPr>
  </w:style>
  <w:style w:type="paragraph" w:customStyle="1" w:styleId="Footnoterefernce">
    <w:name w:val="Footnote refernce"/>
    <w:basedOn w:val="Normal"/>
    <w:autoRedefine/>
    <w:rsid w:val="00246822"/>
    <w:rPr>
      <w:position w:val="6"/>
      <w:vertAlign w:val="superscript"/>
    </w:rPr>
  </w:style>
  <w:style w:type="paragraph" w:customStyle="1" w:styleId="author">
    <w:name w:val="author"/>
    <w:basedOn w:val="Title"/>
    <w:next w:val="Normal"/>
    <w:autoRedefine/>
    <w:rsid w:val="0090423F"/>
    <w:pPr>
      <w:jc w:val="center"/>
    </w:pPr>
    <w:rPr>
      <w:sz w:val="20"/>
    </w:rPr>
  </w:style>
  <w:style w:type="paragraph" w:customStyle="1" w:styleId="box">
    <w:name w:val="box"/>
    <w:basedOn w:val="B2"/>
    <w:autoRedefine/>
    <w:rsid w:val="00246822"/>
    <w:pPr>
      <w:pBdr>
        <w:top w:val="single" w:sz="4" w:space="1" w:color="auto"/>
        <w:left w:val="single" w:sz="4" w:space="4" w:color="auto"/>
        <w:bottom w:val="single" w:sz="4" w:space="1" w:color="auto"/>
        <w:right w:val="single" w:sz="4" w:space="4" w:color="auto"/>
      </w:pBdr>
      <w:spacing w:before="120"/>
      <w:ind w:left="144" w:right="144" w:firstLine="0"/>
      <w:jc w:val="both"/>
    </w:pPr>
    <w:rPr>
      <w:i/>
    </w:rPr>
  </w:style>
  <w:style w:type="paragraph" w:styleId="BodyTextIndent3">
    <w:name w:val="Body Text Indent 3"/>
    <w:basedOn w:val="Normal"/>
    <w:rsid w:val="00246822"/>
  </w:style>
  <w:style w:type="paragraph" w:customStyle="1" w:styleId="AU">
    <w:name w:val="AU"/>
    <w:basedOn w:val="Title"/>
    <w:next w:val="Normal"/>
    <w:autoRedefine/>
    <w:rsid w:val="00246822"/>
    <w:rPr>
      <w:sz w:val="20"/>
    </w:rPr>
  </w:style>
  <w:style w:type="paragraph" w:styleId="NormalWeb">
    <w:name w:val="Normal (Web)"/>
    <w:basedOn w:val="Normal"/>
    <w:rsid w:val="00246822"/>
    <w:pPr>
      <w:spacing w:before="100" w:beforeAutospacing="1" w:after="100" w:afterAutospacing="1"/>
    </w:pPr>
    <w:rPr>
      <w:rFonts w:ascii="Verdana" w:eastAsia="Arial Unicode MS" w:hAnsi="Verdana" w:cs="Arial Unicode MS"/>
      <w:color w:val="000000"/>
    </w:rPr>
  </w:style>
  <w:style w:type="character" w:styleId="Hyperlink">
    <w:name w:val="Hyperlink"/>
    <w:basedOn w:val="DefaultParagraphFont"/>
    <w:rsid w:val="00246822"/>
    <w:rPr>
      <w:color w:val="0000FF"/>
      <w:u w:val="single"/>
    </w:rPr>
  </w:style>
  <w:style w:type="paragraph" w:customStyle="1" w:styleId="B1">
    <w:name w:val="B1"/>
    <w:basedOn w:val="Normal"/>
    <w:autoRedefine/>
    <w:rsid w:val="00246822"/>
    <w:pPr>
      <w:spacing w:before="120" w:line="240" w:lineRule="atLeast"/>
      <w:ind w:left="720" w:hanging="720"/>
    </w:pPr>
    <w:rPr>
      <w:iCs/>
      <w:color w:val="000000"/>
    </w:rPr>
  </w:style>
  <w:style w:type="paragraph" w:customStyle="1" w:styleId="Author0">
    <w:name w:val="Author"/>
    <w:basedOn w:val="Title"/>
    <w:next w:val="Normal"/>
    <w:autoRedefine/>
    <w:rsid w:val="00246822"/>
    <w:pPr>
      <w:ind w:left="720" w:right="720"/>
    </w:pPr>
    <w:rPr>
      <w:sz w:val="20"/>
    </w:rPr>
  </w:style>
  <w:style w:type="paragraph" w:customStyle="1" w:styleId="StyleBefore12pt">
    <w:name w:val="Style Before:  12 pt"/>
    <w:basedOn w:val="Normal"/>
    <w:autoRedefine/>
    <w:rsid w:val="00246822"/>
  </w:style>
  <w:style w:type="paragraph" w:customStyle="1" w:styleId="StyleHeading1Left05Firstline0">
    <w:name w:val="Style Heading 1 + Left:  0.5&quot; First line:  0&quot;"/>
    <w:basedOn w:val="Heading1"/>
    <w:rsid w:val="00246822"/>
    <w:rPr>
      <w:szCs w:val="20"/>
    </w:rPr>
  </w:style>
  <w:style w:type="character" w:styleId="Strong">
    <w:name w:val="Strong"/>
    <w:basedOn w:val="DefaultParagraphFont"/>
    <w:uiPriority w:val="22"/>
    <w:qFormat/>
    <w:rsid w:val="003844F2"/>
    <w:rPr>
      <w:b/>
      <w:bCs/>
      <w:spacing w:val="0"/>
    </w:rPr>
  </w:style>
  <w:style w:type="paragraph" w:customStyle="1" w:styleId="StyleHeading112pt">
    <w:name w:val="Style Heading 1 + 12 pt"/>
    <w:basedOn w:val="Heading1"/>
    <w:autoRedefine/>
    <w:rsid w:val="00246822"/>
  </w:style>
  <w:style w:type="paragraph" w:customStyle="1" w:styleId="StyleHeading212pt">
    <w:name w:val="Style Heading 2 + 12 pt"/>
    <w:basedOn w:val="Heading2"/>
    <w:autoRedefine/>
    <w:rsid w:val="00246822"/>
    <w:pPr>
      <w:ind w:left="1152" w:hanging="720"/>
    </w:pPr>
  </w:style>
  <w:style w:type="character" w:customStyle="1" w:styleId="Heading2Char">
    <w:name w:val="Heading 2 Char"/>
    <w:basedOn w:val="DefaultParagraphFont"/>
    <w:link w:val="Heading2"/>
    <w:uiPriority w:val="9"/>
    <w:rsid w:val="00D43803"/>
    <w:rPr>
      <w:rFonts w:asciiTheme="majorHAnsi" w:eastAsia="Times New Roman" w:hAnsiTheme="majorHAnsi" w:cstheme="majorBidi"/>
      <w:b/>
      <w:bCs/>
      <w:iCs/>
      <w:sz w:val="28"/>
      <w:szCs w:val="28"/>
      <w:shd w:val="clear" w:color="auto" w:fill="DBE5F1" w:themeFill="accent1" w:themeFillTint="33"/>
    </w:rPr>
  </w:style>
  <w:style w:type="character" w:customStyle="1" w:styleId="Heading1Char">
    <w:name w:val="Heading 1 Char"/>
    <w:basedOn w:val="DefaultParagraphFont"/>
    <w:link w:val="Heading1"/>
    <w:uiPriority w:val="9"/>
    <w:rsid w:val="003844F2"/>
    <w:rPr>
      <w:rFonts w:asciiTheme="majorHAnsi" w:eastAsiaTheme="majorEastAsia" w:hAnsiTheme="majorHAnsi" w:cstheme="majorBidi"/>
      <w:b/>
      <w:bCs/>
      <w:i/>
      <w:iCs/>
      <w:sz w:val="32"/>
      <w:szCs w:val="32"/>
    </w:rPr>
  </w:style>
  <w:style w:type="paragraph" w:styleId="BalloonText">
    <w:name w:val="Balloon Text"/>
    <w:basedOn w:val="Normal"/>
    <w:link w:val="BalloonTextChar"/>
    <w:rsid w:val="00246822"/>
    <w:pPr>
      <w:spacing w:after="0"/>
    </w:pPr>
    <w:rPr>
      <w:rFonts w:ascii="Tahoma" w:hAnsi="Tahoma" w:cs="Tahoma"/>
      <w:sz w:val="16"/>
      <w:szCs w:val="16"/>
    </w:rPr>
  </w:style>
  <w:style w:type="character" w:customStyle="1" w:styleId="BalloonTextChar">
    <w:name w:val="Balloon Text Char"/>
    <w:basedOn w:val="DefaultParagraphFont"/>
    <w:link w:val="BalloonText"/>
    <w:rsid w:val="00246822"/>
    <w:rPr>
      <w:rFonts w:ascii="Tahoma" w:hAnsi="Tahoma" w:cs="Tahoma"/>
      <w:sz w:val="16"/>
      <w:szCs w:val="16"/>
    </w:rPr>
  </w:style>
  <w:style w:type="character" w:customStyle="1" w:styleId="EndnoteTextChar">
    <w:name w:val="Endnote Text Char"/>
    <w:basedOn w:val="DefaultParagraphFont"/>
    <w:link w:val="EndnoteText"/>
    <w:semiHidden/>
    <w:rsid w:val="009F311B"/>
    <w:rPr>
      <w:rFonts w:ascii="Calibri" w:hAnsi="Calibri"/>
      <w:sz w:val="22"/>
      <w:szCs w:val="24"/>
    </w:rPr>
  </w:style>
  <w:style w:type="character" w:customStyle="1" w:styleId="Heading3Char">
    <w:name w:val="Heading 3 Char"/>
    <w:basedOn w:val="DefaultParagraphFont"/>
    <w:link w:val="Heading3"/>
    <w:uiPriority w:val="9"/>
    <w:rsid w:val="0082494E"/>
    <w:rPr>
      <w:rFonts w:asciiTheme="majorHAnsi" w:eastAsia="Times New Roman" w:hAnsiTheme="majorHAnsi" w:cstheme="majorBidi"/>
      <w:b/>
      <w:bCs/>
      <w:i/>
      <w:iCs/>
      <w:sz w:val="24"/>
      <w:szCs w:val="26"/>
    </w:rPr>
  </w:style>
  <w:style w:type="character" w:customStyle="1" w:styleId="FootnoteTextChar">
    <w:name w:val="Footnote Text Char"/>
    <w:basedOn w:val="DefaultParagraphFont"/>
    <w:link w:val="FootnoteText"/>
    <w:rsid w:val="00972756"/>
    <w:rPr>
      <w:sz w:val="20"/>
    </w:rPr>
  </w:style>
  <w:style w:type="paragraph" w:styleId="ListParagraph">
    <w:name w:val="List Paragraph"/>
    <w:basedOn w:val="Normal"/>
    <w:uiPriority w:val="34"/>
    <w:qFormat/>
    <w:rsid w:val="003844F2"/>
    <w:pPr>
      <w:ind w:left="720"/>
      <w:contextualSpacing/>
    </w:pPr>
  </w:style>
  <w:style w:type="character" w:customStyle="1" w:styleId="HeaderChar">
    <w:name w:val="Header Char"/>
    <w:basedOn w:val="DefaultParagraphFont"/>
    <w:link w:val="Header"/>
    <w:uiPriority w:val="99"/>
    <w:rsid w:val="00602FAF"/>
    <w:rPr>
      <w:rFonts w:ascii="Calibri" w:hAnsi="Calibri"/>
      <w:sz w:val="22"/>
      <w:szCs w:val="24"/>
    </w:rPr>
  </w:style>
  <w:style w:type="character" w:customStyle="1" w:styleId="Heading4Char">
    <w:name w:val="Heading 4 Char"/>
    <w:basedOn w:val="DefaultParagraphFont"/>
    <w:link w:val="Heading4"/>
    <w:uiPriority w:val="9"/>
    <w:rsid w:val="003844F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3844F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844F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844F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844F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844F2"/>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3844F2"/>
    <w:rPr>
      <w:b/>
      <w:bCs/>
      <w:sz w:val="18"/>
      <w:szCs w:val="18"/>
    </w:rPr>
  </w:style>
  <w:style w:type="character" w:customStyle="1" w:styleId="TitleChar">
    <w:name w:val="Title Char"/>
    <w:basedOn w:val="DefaultParagraphFont"/>
    <w:link w:val="Title"/>
    <w:uiPriority w:val="10"/>
    <w:rsid w:val="003844F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844F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3844F2"/>
    <w:rPr>
      <w:i/>
      <w:iCs/>
      <w:color w:val="808080" w:themeColor="text1" w:themeTint="7F"/>
      <w:spacing w:val="10"/>
      <w:sz w:val="24"/>
      <w:szCs w:val="24"/>
    </w:rPr>
  </w:style>
  <w:style w:type="character" w:styleId="Emphasis">
    <w:name w:val="Emphasis"/>
    <w:uiPriority w:val="20"/>
    <w:qFormat/>
    <w:rsid w:val="003844F2"/>
    <w:rPr>
      <w:b/>
      <w:bCs/>
      <w:i/>
      <w:iCs/>
      <w:color w:val="auto"/>
    </w:rPr>
  </w:style>
  <w:style w:type="paragraph" w:styleId="NoSpacing">
    <w:name w:val="No Spacing"/>
    <w:basedOn w:val="Normal"/>
    <w:link w:val="NoSpacingChar"/>
    <w:uiPriority w:val="1"/>
    <w:qFormat/>
    <w:rsid w:val="003844F2"/>
    <w:pPr>
      <w:spacing w:after="0" w:line="240" w:lineRule="auto"/>
      <w:ind w:firstLine="0"/>
    </w:pPr>
  </w:style>
  <w:style w:type="character" w:customStyle="1" w:styleId="NoSpacingChar">
    <w:name w:val="No Spacing Char"/>
    <w:basedOn w:val="DefaultParagraphFont"/>
    <w:link w:val="NoSpacing"/>
    <w:uiPriority w:val="1"/>
    <w:rsid w:val="0090423F"/>
  </w:style>
  <w:style w:type="character" w:customStyle="1" w:styleId="QuoteChar">
    <w:name w:val="Quote Char"/>
    <w:basedOn w:val="DefaultParagraphFont"/>
    <w:link w:val="Quote"/>
    <w:uiPriority w:val="29"/>
    <w:rsid w:val="003844F2"/>
    <w:rPr>
      <w:rFonts w:asciiTheme="minorHAnsi"/>
      <w:color w:val="5A5A5A" w:themeColor="text1" w:themeTint="A5"/>
    </w:rPr>
  </w:style>
  <w:style w:type="paragraph" w:styleId="IntenseQuote">
    <w:name w:val="Intense Quote"/>
    <w:basedOn w:val="Normal"/>
    <w:next w:val="Normal"/>
    <w:link w:val="IntenseQuoteChar"/>
    <w:uiPriority w:val="30"/>
    <w:qFormat/>
    <w:rsid w:val="003844F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844F2"/>
    <w:rPr>
      <w:rFonts w:asciiTheme="majorHAnsi" w:eastAsiaTheme="majorEastAsia" w:hAnsiTheme="majorHAnsi" w:cstheme="majorBidi"/>
      <w:i/>
      <w:iCs/>
      <w:sz w:val="20"/>
      <w:szCs w:val="20"/>
    </w:rPr>
  </w:style>
  <w:style w:type="character" w:styleId="SubtleEmphasis">
    <w:name w:val="Subtle Emphasis"/>
    <w:uiPriority w:val="19"/>
    <w:qFormat/>
    <w:rsid w:val="003844F2"/>
    <w:rPr>
      <w:i/>
      <w:iCs/>
      <w:color w:val="5A5A5A" w:themeColor="text1" w:themeTint="A5"/>
    </w:rPr>
  </w:style>
  <w:style w:type="character" w:styleId="IntenseEmphasis">
    <w:name w:val="Intense Emphasis"/>
    <w:uiPriority w:val="21"/>
    <w:qFormat/>
    <w:rsid w:val="003844F2"/>
    <w:rPr>
      <w:b/>
      <w:bCs/>
      <w:i/>
      <w:iCs/>
      <w:color w:val="auto"/>
      <w:u w:val="single"/>
    </w:rPr>
  </w:style>
  <w:style w:type="character" w:styleId="SubtleReference">
    <w:name w:val="Subtle Reference"/>
    <w:uiPriority w:val="31"/>
    <w:qFormat/>
    <w:rsid w:val="003844F2"/>
    <w:rPr>
      <w:smallCaps/>
    </w:rPr>
  </w:style>
  <w:style w:type="character" w:styleId="IntenseReference">
    <w:name w:val="Intense Reference"/>
    <w:uiPriority w:val="32"/>
    <w:qFormat/>
    <w:rsid w:val="003844F2"/>
    <w:rPr>
      <w:b/>
      <w:bCs/>
      <w:smallCaps/>
      <w:color w:val="auto"/>
    </w:rPr>
  </w:style>
  <w:style w:type="character" w:styleId="BookTitle">
    <w:name w:val="Book Title"/>
    <w:uiPriority w:val="33"/>
    <w:qFormat/>
    <w:rsid w:val="003844F2"/>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844F2"/>
    <w:pPr>
      <w:outlineLvl w:val="9"/>
    </w:pPr>
  </w:style>
  <w:style w:type="character" w:customStyle="1" w:styleId="BodyTextIndentChar">
    <w:name w:val="Body Text Indent Char"/>
    <w:basedOn w:val="DefaultParagraphFont"/>
    <w:link w:val="BodyTextIndent"/>
    <w:rsid w:val="00CC4178"/>
  </w:style>
  <w:style w:type="character" w:customStyle="1" w:styleId="searchword">
    <w:name w:val="searchword"/>
    <w:basedOn w:val="DefaultParagraphFont"/>
    <w:rsid w:val="00EF32B2"/>
  </w:style>
  <w:style w:type="character" w:customStyle="1" w:styleId="apple-converted-space">
    <w:name w:val="apple-converted-space"/>
    <w:basedOn w:val="DefaultParagraphFont"/>
    <w:rsid w:val="00EF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roman_curia/pontifical_councils/laity/documents/rc_con_interdic_doc_15081997_en.html" TargetMode="External"/><Relationship Id="rId4" Type="http://schemas.openxmlformats.org/officeDocument/2006/relationships/hyperlink" Target="http://www.vatican.va/roman_curia/congregations/ccdds/documents/rc_con_ccdds_doc_20040423_redemptionis-sacramentum_en.html" TargetMode="External"/><Relationship Id="rId5" Type="http://schemas.openxmlformats.org/officeDocument/2006/relationships/hyperlink" Target="http://www.vatican.va/roman_curia/congregations/ccdds/documents/rc_con_ccdds_doc_20030317_ordinamento-messale_en.html" TargetMode="External"/><Relationship Id="rId6" Type="http://schemas.openxmlformats.org/officeDocument/2006/relationships/hyperlink" Target="http://www.vatican.va/holy_father/john_paul_ii/motu_proprio/documents/hf_jp-ii_motu-proprio_22071998_apostolos-suos_en.html" TargetMode="External"/><Relationship Id="rId7" Type="http://schemas.openxmlformats.org/officeDocument/2006/relationships/hyperlink" Target="http://www.vatican.va/holy_father/john_paul_ii/apost_exhortations/documents/hf_jp-ii_exh_19811122_familiaris-consortio_en.html" TargetMode="External"/><Relationship Id="rId8" Type="http://schemas.openxmlformats.org/officeDocument/2006/relationships/hyperlink" Target="http://www.vatican.va/holy_father/john_paul_ii/apost_letters/documents/hf_jp-ii_apl_20010106_novo-millennio-ineunte_en.html" TargetMode="External"/><Relationship Id="rId9" Type="http://schemas.openxmlformats.org/officeDocument/2006/relationships/hyperlink" Target="http://www.vatican.va/holy_father/john_paul_ii/apost_exhortations/documents/hf_jp-ii_exh_20031016_pastores-gregis_en.html" TargetMode="External"/><Relationship Id="rId1" Type="http://schemas.openxmlformats.org/officeDocument/2006/relationships/hyperlink" Target="http://www.vatican.va/roman_curia/congregations/cfaith/documents/rc_con_cfaith_doc_20000806_dominus-iesus_en.html" TargetMode="External"/><Relationship Id="rId2" Type="http://schemas.openxmlformats.org/officeDocument/2006/relationships/hyperlink" Target="http://www.vatican.va/roman_curia/congregations/cfaith/documents/rc_con_cfaith_doc_20070629_responsa-quaestiones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ailla\Application%20Data\Microsoft\Templates\manu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0AB2-ACD2-6541-BCD7-373E4F67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Settings\rgailla\Application Data\Microsoft\Templates\manuscript.dot</Template>
  <TotalTime>1</TotalTime>
  <Pages>28</Pages>
  <Words>8576</Words>
  <Characters>48886</Characters>
  <Application>Microsoft Macintosh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“A New Council</vt:lpstr>
    </vt:vector>
  </TitlesOfParts>
  <Company>University of Toledo</Company>
  <LinksUpToDate>false</LinksUpToDate>
  <CharactersWithSpaces>57348</CharactersWithSpaces>
  <SharedDoc>false</SharedDoc>
  <HLinks>
    <vt:vector size="6" baseType="variant">
      <vt:variant>
        <vt:i4>4980821</vt:i4>
      </vt:variant>
      <vt:variant>
        <vt:i4>0</vt:i4>
      </vt:variant>
      <vt:variant>
        <vt:i4>0</vt:i4>
      </vt:variant>
      <vt:variant>
        <vt:i4>5</vt:i4>
      </vt:variant>
      <vt:variant>
        <vt:lpwstr>http://www.asianews.it/view.php?l=en&amp;art=4944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Council</dc:title>
  <dc:creator>Richard R. Gaillardetz</dc:creator>
  <cp:lastModifiedBy>Richard Gaillardetz</cp:lastModifiedBy>
  <cp:revision>3</cp:revision>
  <cp:lastPrinted>2010-03-17T16:29:00Z</cp:lastPrinted>
  <dcterms:created xsi:type="dcterms:W3CDTF">2013-07-06T18:33:00Z</dcterms:created>
  <dcterms:modified xsi:type="dcterms:W3CDTF">2015-03-01T14:38:00Z</dcterms:modified>
</cp:coreProperties>
</file>