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24926" w14:textId="77777777" w:rsidR="00335D99" w:rsidRPr="0074282F" w:rsidRDefault="00335D99">
      <w:pPr>
        <w:pStyle w:val="BodyText"/>
        <w:rPr>
          <w:rFonts w:ascii="Open Sans" w:hAnsi="Open Sans" w:cs="Open Sans"/>
        </w:rPr>
      </w:pPr>
    </w:p>
    <w:p w14:paraId="25CD1059" w14:textId="77777777" w:rsidR="00335D99" w:rsidRPr="0074282F" w:rsidRDefault="00335D99">
      <w:pPr>
        <w:pStyle w:val="BodyText"/>
        <w:rPr>
          <w:rFonts w:ascii="Open Sans" w:hAnsi="Open Sans" w:cs="Open Sans"/>
        </w:rPr>
      </w:pPr>
    </w:p>
    <w:p w14:paraId="46F8DC21" w14:textId="77777777" w:rsidR="00335D99" w:rsidRPr="0074282F" w:rsidRDefault="00335D99">
      <w:pPr>
        <w:pStyle w:val="BodyText"/>
        <w:rPr>
          <w:rFonts w:ascii="Open Sans" w:hAnsi="Open Sans" w:cs="Open Sans"/>
        </w:rPr>
      </w:pPr>
    </w:p>
    <w:p w14:paraId="5421C7DC" w14:textId="77777777" w:rsidR="00E373EE" w:rsidRPr="0074282F" w:rsidRDefault="00E373EE" w:rsidP="00E373EE">
      <w:pPr>
        <w:shd w:val="clear" w:color="auto" w:fill="FFFFFF"/>
        <w:jc w:val="center"/>
        <w:rPr>
          <w:rFonts w:ascii="Open Sans" w:eastAsia="Times New Roman" w:hAnsi="Open Sans" w:cs="Open Sans"/>
          <w:b/>
          <w:bCs/>
          <w:color w:val="283C46"/>
        </w:rPr>
      </w:pPr>
    </w:p>
    <w:p w14:paraId="2EFD3603" w14:textId="77777777" w:rsidR="00E373EE" w:rsidRPr="0074282F" w:rsidRDefault="00E373EE" w:rsidP="00E373EE">
      <w:pPr>
        <w:shd w:val="clear" w:color="auto" w:fill="FFFFFF"/>
        <w:jc w:val="center"/>
        <w:rPr>
          <w:rFonts w:ascii="Open Sans" w:eastAsia="Times New Roman" w:hAnsi="Open Sans" w:cs="Open Sans"/>
          <w:b/>
          <w:bCs/>
          <w:color w:val="283C4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6219"/>
        <w:gridCol w:w="1813"/>
      </w:tblGrid>
      <w:tr w:rsidR="00E373EE" w:rsidRPr="0074282F" w14:paraId="07FA7E23" w14:textId="77777777" w:rsidTr="00EC5812">
        <w:tc>
          <w:tcPr>
            <w:tcW w:w="9450" w:type="dxa"/>
            <w:gridSpan w:val="3"/>
          </w:tcPr>
          <w:p w14:paraId="430DEAEE" w14:textId="2DD7FE80" w:rsidR="00E373EE" w:rsidRPr="0074282F" w:rsidRDefault="006E053E" w:rsidP="00EC5812">
            <w:pPr>
              <w:jc w:val="center"/>
              <w:rPr>
                <w:rFonts w:ascii="Open Sans" w:eastAsia="Times New Roman" w:hAnsi="Open Sans" w:cs="Open Sans"/>
                <w:b/>
                <w:bCs/>
                <w:color w:val="990033"/>
              </w:rPr>
            </w:pPr>
            <w:r w:rsidRPr="006E053E">
              <w:rPr>
                <w:rFonts w:ascii="Open Sans" w:eastAsia="Times New Roman" w:hAnsi="Open Sans" w:cs="Open Sans"/>
                <w:b/>
                <w:bCs/>
                <w:color w:val="990033"/>
                <w:sz w:val="40"/>
              </w:rPr>
              <w:t>RISK MANAGEMENT POLICY</w:t>
            </w:r>
          </w:p>
        </w:tc>
      </w:tr>
      <w:tr w:rsidR="00E373EE" w:rsidRPr="0074282F" w14:paraId="45893B57" w14:textId="77777777" w:rsidTr="00EC5812">
        <w:tc>
          <w:tcPr>
            <w:tcW w:w="3150" w:type="dxa"/>
          </w:tcPr>
          <w:p w14:paraId="2FC5B7BE" w14:textId="77777777" w:rsidR="00E373EE" w:rsidRPr="0074282F" w:rsidRDefault="00E373EE" w:rsidP="00EC5812">
            <w:pPr>
              <w:jc w:val="center"/>
              <w:rPr>
                <w:rFonts w:ascii="Open Sans" w:eastAsia="Times New Roman" w:hAnsi="Open Sans" w:cs="Open Sans"/>
                <w:b/>
                <w:bCs/>
                <w:color w:val="283C46"/>
              </w:rPr>
            </w:pPr>
          </w:p>
        </w:tc>
        <w:tc>
          <w:tcPr>
            <w:tcW w:w="3150" w:type="dxa"/>
          </w:tcPr>
          <w:p w14:paraId="4F26C23F" w14:textId="77777777" w:rsidR="00E373EE" w:rsidRPr="0074282F" w:rsidRDefault="00E373EE" w:rsidP="00EC5812">
            <w:pPr>
              <w:jc w:val="center"/>
              <w:rPr>
                <w:rFonts w:ascii="Open Sans" w:eastAsia="Times New Roman" w:hAnsi="Open Sans" w:cs="Open Sans"/>
                <w:b/>
                <w:bCs/>
                <w:color w:val="283C46"/>
              </w:rPr>
            </w:pPr>
            <w:r w:rsidRPr="0074282F">
              <w:rPr>
                <w:rFonts w:ascii="Open Sans" w:eastAsia="Times New Roman" w:hAnsi="Open Sans" w:cs="Open Sans"/>
                <w:b/>
                <w:bCs/>
                <w:noProof/>
                <w:color w:val="283C46"/>
              </w:rPr>
              <w:drawing>
                <wp:inline distT="0" distB="0" distL="0" distR="0" wp14:anchorId="00CEC75E" wp14:editId="17C3086A">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3150" w:type="dxa"/>
          </w:tcPr>
          <w:p w14:paraId="1CF6DD01" w14:textId="77777777" w:rsidR="00E373EE" w:rsidRPr="0074282F" w:rsidRDefault="00E373EE" w:rsidP="00EC5812">
            <w:pPr>
              <w:jc w:val="center"/>
              <w:rPr>
                <w:rFonts w:ascii="Open Sans" w:eastAsia="Times New Roman" w:hAnsi="Open Sans" w:cs="Open Sans"/>
                <w:b/>
                <w:bCs/>
                <w:color w:val="283C46"/>
              </w:rPr>
            </w:pPr>
          </w:p>
        </w:tc>
      </w:tr>
    </w:tbl>
    <w:p w14:paraId="3CB6597D" w14:textId="77777777" w:rsidR="00E373EE" w:rsidRPr="0074282F" w:rsidRDefault="00E373EE" w:rsidP="00E373EE">
      <w:pPr>
        <w:shd w:val="clear" w:color="auto" w:fill="FFFFFF"/>
        <w:jc w:val="center"/>
        <w:rPr>
          <w:rFonts w:ascii="Open Sans" w:eastAsia="Times New Roman" w:hAnsi="Open Sans" w:cs="Open Sans"/>
          <w:b/>
          <w:bCs/>
          <w:color w:val="283C46"/>
        </w:rPr>
      </w:pPr>
    </w:p>
    <w:p w14:paraId="3A93E4EE" w14:textId="337A6252" w:rsidR="00E373EE" w:rsidRPr="0074282F" w:rsidRDefault="00E373EE" w:rsidP="00E373EE">
      <w:pPr>
        <w:shd w:val="clear" w:color="auto" w:fill="FFFFFF"/>
        <w:rPr>
          <w:rFonts w:ascii="Open Sans" w:eastAsia="Times New Roman" w:hAnsi="Open Sans" w:cs="Open Sans"/>
          <w:b/>
          <w:bCs/>
          <w:color w:val="283C46"/>
        </w:rPr>
      </w:pPr>
      <w:r w:rsidRPr="0074282F">
        <w:rPr>
          <w:rFonts w:ascii="Open Sans" w:eastAsia="Times New Roman" w:hAnsi="Open Sans" w:cs="Open Sans"/>
          <w:b/>
          <w:bCs/>
          <w:color w:val="283C46"/>
        </w:rPr>
        <w:t>Date of Policy:</w:t>
      </w:r>
      <w:r w:rsidR="006C2869" w:rsidRPr="0074282F">
        <w:rPr>
          <w:rFonts w:ascii="Open Sans" w:eastAsia="Times New Roman" w:hAnsi="Open Sans" w:cs="Open Sans"/>
          <w:b/>
          <w:bCs/>
          <w:color w:val="283C46"/>
        </w:rPr>
        <w:t xml:space="preserve"> </w:t>
      </w:r>
      <w:r w:rsidR="000F2279">
        <w:rPr>
          <w:rFonts w:ascii="Open Sans" w:eastAsia="Times New Roman" w:hAnsi="Open Sans" w:cs="Open Sans"/>
          <w:bCs/>
          <w:color w:val="283C46"/>
        </w:rPr>
        <w:t>January 2019</w:t>
      </w:r>
      <w:r w:rsidRPr="0074282F">
        <w:rPr>
          <w:rFonts w:ascii="Open Sans" w:eastAsia="Times New Roman" w:hAnsi="Open Sans" w:cs="Open Sans"/>
          <w:b/>
          <w:bCs/>
          <w:color w:val="283C46"/>
        </w:rPr>
        <w:br/>
      </w:r>
    </w:p>
    <w:p w14:paraId="56C2541A" w14:textId="7023D124" w:rsidR="00E373EE" w:rsidRPr="0074282F" w:rsidRDefault="00E373EE" w:rsidP="00E373EE">
      <w:pPr>
        <w:shd w:val="clear" w:color="auto" w:fill="FFFFFF"/>
        <w:rPr>
          <w:rFonts w:ascii="Open Sans" w:eastAsia="Times New Roman" w:hAnsi="Open Sans" w:cs="Open Sans"/>
          <w:b/>
          <w:bCs/>
          <w:color w:val="283C46"/>
        </w:rPr>
      </w:pPr>
      <w:r w:rsidRPr="0074282F">
        <w:rPr>
          <w:rFonts w:ascii="Open Sans" w:eastAsia="Times New Roman" w:hAnsi="Open Sans" w:cs="Open Sans"/>
          <w:b/>
          <w:bCs/>
          <w:color w:val="283C46"/>
        </w:rPr>
        <w:t>Review Date*: </w:t>
      </w:r>
      <w:r w:rsidR="000F2279">
        <w:rPr>
          <w:rFonts w:ascii="Open Sans" w:eastAsia="Times New Roman" w:hAnsi="Open Sans" w:cs="Open Sans"/>
          <w:color w:val="283C46"/>
        </w:rPr>
        <w:t>January 2022</w:t>
      </w:r>
      <w:bookmarkStart w:id="0" w:name="_GoBack"/>
      <w:bookmarkEnd w:id="0"/>
      <w:r w:rsidRPr="0074282F">
        <w:rPr>
          <w:rFonts w:ascii="Open Sans" w:eastAsia="Times New Roman" w:hAnsi="Open Sans" w:cs="Open Sans"/>
          <w:color w:val="283C46"/>
        </w:rPr>
        <w:t> </w:t>
      </w:r>
      <w:r w:rsidRPr="0074282F">
        <w:rPr>
          <w:rFonts w:ascii="Open Sans" w:eastAsia="Times New Roman" w:hAnsi="Open Sans" w:cs="Open Sans"/>
          <w:b/>
          <w:bCs/>
          <w:color w:val="283C46"/>
        </w:rPr>
        <w:br/>
      </w:r>
    </w:p>
    <w:p w14:paraId="78215AE2" w14:textId="77777777" w:rsidR="00E373EE" w:rsidRPr="0074282F" w:rsidRDefault="00E373EE" w:rsidP="00E373EE">
      <w:pPr>
        <w:shd w:val="clear" w:color="auto" w:fill="FFFFFF"/>
        <w:rPr>
          <w:rFonts w:ascii="Open Sans" w:eastAsia="Times New Roman" w:hAnsi="Open Sans" w:cs="Open Sans"/>
          <w:b/>
          <w:bCs/>
          <w:color w:val="283C46"/>
        </w:rPr>
      </w:pPr>
      <w:r w:rsidRPr="0074282F">
        <w:rPr>
          <w:rFonts w:ascii="Open Sans" w:eastAsia="Times New Roman" w:hAnsi="Open Sans" w:cs="Open Sans"/>
          <w:b/>
          <w:bCs/>
          <w:color w:val="283C46"/>
        </w:rPr>
        <w:t>Coordinator (s): </w:t>
      </w:r>
      <w:r w:rsidR="00D2402D" w:rsidRPr="0074282F">
        <w:rPr>
          <w:rFonts w:ascii="Open Sans" w:eastAsia="Times New Roman" w:hAnsi="Open Sans" w:cs="Open Sans"/>
          <w:color w:val="283C46"/>
        </w:rPr>
        <w:t>Mr M Taylor</w:t>
      </w:r>
      <w:r w:rsidRPr="0074282F">
        <w:rPr>
          <w:rFonts w:ascii="Open Sans" w:eastAsia="Times New Roman" w:hAnsi="Open Sans" w:cs="Open Sans"/>
          <w:color w:val="283C46"/>
        </w:rPr>
        <w:t xml:space="preserve"> Mr </w:t>
      </w:r>
      <w:r w:rsidR="00D2402D" w:rsidRPr="0074282F">
        <w:rPr>
          <w:rFonts w:ascii="Open Sans" w:eastAsia="Times New Roman" w:hAnsi="Open Sans" w:cs="Open Sans"/>
          <w:color w:val="283C46"/>
        </w:rPr>
        <w:t xml:space="preserve">J </w:t>
      </w:r>
      <w:r w:rsidRPr="0074282F">
        <w:rPr>
          <w:rFonts w:ascii="Open Sans" w:eastAsia="Times New Roman" w:hAnsi="Open Sans" w:cs="Open Sans"/>
          <w:color w:val="283C46"/>
        </w:rPr>
        <w:t>Barr</w:t>
      </w:r>
      <w:r w:rsidRPr="0074282F">
        <w:rPr>
          <w:rFonts w:ascii="Open Sans" w:eastAsia="Times New Roman" w:hAnsi="Open Sans" w:cs="Open Sans"/>
          <w:b/>
          <w:bCs/>
          <w:color w:val="283C46"/>
        </w:rPr>
        <w:br/>
      </w:r>
    </w:p>
    <w:p w14:paraId="32A89074" w14:textId="77777777" w:rsidR="00E373EE" w:rsidRPr="0074282F" w:rsidRDefault="00E373EE" w:rsidP="00E373EE">
      <w:pPr>
        <w:shd w:val="clear" w:color="auto" w:fill="FFFFFF"/>
        <w:rPr>
          <w:rFonts w:ascii="Open Sans" w:hAnsi="Open Sans" w:cs="Open Sans"/>
          <w:color w:val="2E2E2F"/>
        </w:rPr>
      </w:pPr>
      <w:r w:rsidRPr="0074282F">
        <w:rPr>
          <w:rFonts w:ascii="Open Sans" w:eastAsia="Times New Roman" w:hAnsi="Open Sans" w:cs="Open Sans"/>
          <w:b/>
          <w:bCs/>
          <w:color w:val="283C46"/>
        </w:rPr>
        <w:t>Governor: </w:t>
      </w:r>
      <w:r w:rsidRPr="0074282F">
        <w:rPr>
          <w:rFonts w:ascii="Open Sans" w:eastAsia="Times New Roman" w:hAnsi="Open Sans" w:cs="Open Sans"/>
          <w:color w:val="283C46"/>
        </w:rPr>
        <w:t xml:space="preserve">Mr </w:t>
      </w:r>
      <w:r w:rsidR="00D2402D" w:rsidRPr="0074282F">
        <w:rPr>
          <w:rFonts w:ascii="Open Sans" w:eastAsia="Times New Roman" w:hAnsi="Open Sans" w:cs="Open Sans"/>
          <w:color w:val="283C46"/>
        </w:rPr>
        <w:t xml:space="preserve">K Murphy </w:t>
      </w:r>
      <w:r w:rsidRPr="0074282F">
        <w:rPr>
          <w:rFonts w:ascii="Open Sans" w:eastAsia="Times New Roman" w:hAnsi="Open Sans" w:cs="Open Sans"/>
          <w:color w:val="283C46"/>
        </w:rPr>
        <w:br/>
      </w:r>
      <w:r w:rsidRPr="0074282F">
        <w:rPr>
          <w:rFonts w:ascii="Open Sans" w:eastAsia="Times New Roman" w:hAnsi="Open Sans" w:cs="Open Sans"/>
          <w:color w:val="283C46"/>
        </w:rPr>
        <w:br/>
      </w:r>
      <w:r w:rsidRPr="0074282F">
        <w:rPr>
          <w:rFonts w:ascii="Open Sans" w:eastAsia="Times New Roman" w:hAnsi="Open Sans" w:cs="Open Sans"/>
          <w:b/>
          <w:bCs/>
          <w:color w:val="283C46"/>
        </w:rPr>
        <w:t>* Policy Review: Every three years otherwise dictated by the FGB (Full Governing Body) or by changes in legislation.</w:t>
      </w:r>
      <w:r w:rsidRPr="0074282F">
        <w:rPr>
          <w:rFonts w:ascii="Open Sans" w:eastAsia="Times New Roman" w:hAnsi="Open Sans" w:cs="Open Sans"/>
          <w:b/>
          <w:bCs/>
          <w:color w:val="283C46"/>
        </w:rPr>
        <w:br/>
      </w:r>
      <w:r w:rsidRPr="0074282F">
        <w:rPr>
          <w:rFonts w:ascii="Open Sans" w:eastAsia="Times New Roman" w:hAnsi="Open Sans" w:cs="Open Sans"/>
          <w:b/>
          <w:bCs/>
          <w:color w:val="283C46"/>
        </w:rPr>
        <w:br/>
      </w:r>
    </w:p>
    <w:p w14:paraId="115E076C" w14:textId="77777777" w:rsidR="00335D99" w:rsidRPr="0074282F" w:rsidRDefault="00335D99">
      <w:pPr>
        <w:spacing w:line="276" w:lineRule="auto"/>
        <w:jc w:val="both"/>
        <w:rPr>
          <w:rFonts w:ascii="Open Sans" w:hAnsi="Open Sans" w:cs="Open Sans"/>
        </w:rPr>
        <w:sectPr w:rsidR="00335D99" w:rsidRPr="0074282F" w:rsidSect="00201FD2">
          <w:footerReference w:type="default" r:id="rId9"/>
          <w:pgSz w:w="11910" w:h="16840"/>
          <w:pgMar w:top="134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sdt>
      <w:sdtPr>
        <w:rPr>
          <w:rFonts w:ascii="Open Sans" w:eastAsia="Arial" w:hAnsi="Open Sans" w:cs="Open Sans"/>
          <w:color w:val="auto"/>
          <w:sz w:val="22"/>
          <w:szCs w:val="22"/>
          <w:lang w:val="en-GB" w:eastAsia="en-GB" w:bidi="en-GB"/>
        </w:rPr>
        <w:id w:val="-1566872818"/>
        <w:docPartObj>
          <w:docPartGallery w:val="Table of Contents"/>
          <w:docPartUnique/>
        </w:docPartObj>
      </w:sdtPr>
      <w:sdtEndPr>
        <w:rPr>
          <w:b/>
          <w:bCs/>
          <w:noProof/>
        </w:rPr>
      </w:sdtEndPr>
      <w:sdtContent>
        <w:p w14:paraId="0F1B53A0" w14:textId="69B9712B" w:rsidR="00D2402D" w:rsidRPr="007062B3" w:rsidRDefault="00D2402D" w:rsidP="0074282F">
          <w:pPr>
            <w:pStyle w:val="TOCHeading"/>
            <w:rPr>
              <w:rFonts w:ascii="Open Sans" w:hAnsi="Open Sans" w:cs="Open Sans"/>
              <w:b/>
              <w:sz w:val="22"/>
              <w:szCs w:val="22"/>
            </w:rPr>
          </w:pPr>
          <w:r w:rsidRPr="007062B3">
            <w:rPr>
              <w:rFonts w:ascii="Open Sans" w:hAnsi="Open Sans" w:cs="Open Sans"/>
              <w:b/>
              <w:sz w:val="22"/>
              <w:szCs w:val="22"/>
            </w:rPr>
            <w:t>Table of Contents</w:t>
          </w:r>
        </w:p>
        <w:p w14:paraId="0A375E15" w14:textId="77777777" w:rsidR="007062B3" w:rsidRPr="007062B3" w:rsidRDefault="007062B3" w:rsidP="007062B3">
          <w:pPr>
            <w:rPr>
              <w:rFonts w:ascii="Open Sans" w:hAnsi="Open Sans" w:cs="Open Sans"/>
              <w:lang w:val="en-US" w:eastAsia="en-US" w:bidi="ar-SA"/>
            </w:rPr>
          </w:pPr>
        </w:p>
        <w:p w14:paraId="643DEB8C" w14:textId="0F1B1AE3" w:rsidR="005548D2" w:rsidRPr="005548D2" w:rsidRDefault="00D2402D">
          <w:pPr>
            <w:pStyle w:val="TOC1"/>
            <w:tabs>
              <w:tab w:val="right" w:leader="dot" w:pos="9620"/>
            </w:tabs>
            <w:rPr>
              <w:rFonts w:ascii="Open Sans" w:eastAsiaTheme="minorEastAsia" w:hAnsi="Open Sans" w:cs="Open Sans"/>
              <w:noProof/>
              <w:lang w:bidi="ar-SA"/>
            </w:rPr>
          </w:pPr>
          <w:r w:rsidRPr="007062B3">
            <w:rPr>
              <w:rFonts w:ascii="Open Sans" w:hAnsi="Open Sans" w:cs="Open Sans"/>
              <w:b/>
              <w:bCs/>
              <w:noProof/>
            </w:rPr>
            <w:fldChar w:fldCharType="begin"/>
          </w:r>
          <w:r w:rsidRPr="007062B3">
            <w:rPr>
              <w:rFonts w:ascii="Open Sans" w:hAnsi="Open Sans" w:cs="Open Sans"/>
              <w:b/>
              <w:bCs/>
              <w:noProof/>
            </w:rPr>
            <w:instrText xml:space="preserve"> TOC \o "1-3" \h \z \u </w:instrText>
          </w:r>
          <w:r w:rsidRPr="007062B3">
            <w:rPr>
              <w:rFonts w:ascii="Open Sans" w:hAnsi="Open Sans" w:cs="Open Sans"/>
              <w:b/>
              <w:bCs/>
              <w:noProof/>
            </w:rPr>
            <w:fldChar w:fldCharType="separate"/>
          </w:r>
          <w:hyperlink w:anchor="_Toc527028788" w:history="1">
            <w:r w:rsidR="005548D2" w:rsidRPr="005548D2">
              <w:rPr>
                <w:rStyle w:val="Hyperlink"/>
                <w:rFonts w:ascii="Open Sans" w:hAnsi="Open Sans" w:cs="Open Sans"/>
                <w:noProof/>
              </w:rPr>
              <w:t>INTRODUCTION</w:t>
            </w:r>
            <w:r w:rsidR="005548D2" w:rsidRPr="005548D2">
              <w:rPr>
                <w:rFonts w:ascii="Open Sans" w:hAnsi="Open Sans" w:cs="Open Sans"/>
                <w:noProof/>
                <w:webHidden/>
              </w:rPr>
              <w:tab/>
            </w:r>
            <w:r w:rsidR="005548D2" w:rsidRPr="005548D2">
              <w:rPr>
                <w:rFonts w:ascii="Open Sans" w:hAnsi="Open Sans" w:cs="Open Sans"/>
                <w:noProof/>
                <w:webHidden/>
              </w:rPr>
              <w:fldChar w:fldCharType="begin"/>
            </w:r>
            <w:r w:rsidR="005548D2" w:rsidRPr="005548D2">
              <w:rPr>
                <w:rFonts w:ascii="Open Sans" w:hAnsi="Open Sans" w:cs="Open Sans"/>
                <w:noProof/>
                <w:webHidden/>
              </w:rPr>
              <w:instrText xml:space="preserve"> PAGEREF _Toc527028788 \h </w:instrText>
            </w:r>
            <w:r w:rsidR="005548D2" w:rsidRPr="005548D2">
              <w:rPr>
                <w:rFonts w:ascii="Open Sans" w:hAnsi="Open Sans" w:cs="Open Sans"/>
                <w:noProof/>
                <w:webHidden/>
              </w:rPr>
            </w:r>
            <w:r w:rsidR="005548D2" w:rsidRPr="005548D2">
              <w:rPr>
                <w:rFonts w:ascii="Open Sans" w:hAnsi="Open Sans" w:cs="Open Sans"/>
                <w:noProof/>
                <w:webHidden/>
              </w:rPr>
              <w:fldChar w:fldCharType="separate"/>
            </w:r>
            <w:r w:rsidR="005548D2" w:rsidRPr="005548D2">
              <w:rPr>
                <w:rFonts w:ascii="Open Sans" w:hAnsi="Open Sans" w:cs="Open Sans"/>
                <w:noProof/>
                <w:webHidden/>
              </w:rPr>
              <w:t>3</w:t>
            </w:r>
            <w:r w:rsidR="005548D2" w:rsidRPr="005548D2">
              <w:rPr>
                <w:rFonts w:ascii="Open Sans" w:hAnsi="Open Sans" w:cs="Open Sans"/>
                <w:noProof/>
                <w:webHidden/>
              </w:rPr>
              <w:fldChar w:fldCharType="end"/>
            </w:r>
          </w:hyperlink>
        </w:p>
        <w:p w14:paraId="36823B58" w14:textId="4A4E5FCC" w:rsidR="005548D2" w:rsidRPr="005548D2" w:rsidRDefault="003E0C81">
          <w:pPr>
            <w:pStyle w:val="TOC1"/>
            <w:tabs>
              <w:tab w:val="right" w:leader="dot" w:pos="9620"/>
            </w:tabs>
            <w:rPr>
              <w:rFonts w:ascii="Open Sans" w:eastAsiaTheme="minorEastAsia" w:hAnsi="Open Sans" w:cs="Open Sans"/>
              <w:noProof/>
              <w:lang w:bidi="ar-SA"/>
            </w:rPr>
          </w:pPr>
          <w:hyperlink w:anchor="_Toc527028789" w:history="1">
            <w:r w:rsidR="005548D2" w:rsidRPr="005548D2">
              <w:rPr>
                <w:rStyle w:val="Hyperlink"/>
                <w:rFonts w:ascii="Open Sans" w:hAnsi="Open Sans" w:cs="Open Sans"/>
                <w:noProof/>
              </w:rPr>
              <w:t>RISK ASSESSMENTS PROCEDURES (WHO, WHAT, HOW, WHEN)</w:t>
            </w:r>
            <w:r w:rsidR="005548D2" w:rsidRPr="005548D2">
              <w:rPr>
                <w:rFonts w:ascii="Open Sans" w:hAnsi="Open Sans" w:cs="Open Sans"/>
                <w:noProof/>
                <w:webHidden/>
              </w:rPr>
              <w:tab/>
            </w:r>
            <w:r w:rsidR="005548D2" w:rsidRPr="005548D2">
              <w:rPr>
                <w:rFonts w:ascii="Open Sans" w:hAnsi="Open Sans" w:cs="Open Sans"/>
                <w:noProof/>
                <w:webHidden/>
              </w:rPr>
              <w:fldChar w:fldCharType="begin"/>
            </w:r>
            <w:r w:rsidR="005548D2" w:rsidRPr="005548D2">
              <w:rPr>
                <w:rFonts w:ascii="Open Sans" w:hAnsi="Open Sans" w:cs="Open Sans"/>
                <w:noProof/>
                <w:webHidden/>
              </w:rPr>
              <w:instrText xml:space="preserve"> PAGEREF _Toc527028789 \h </w:instrText>
            </w:r>
            <w:r w:rsidR="005548D2" w:rsidRPr="005548D2">
              <w:rPr>
                <w:rFonts w:ascii="Open Sans" w:hAnsi="Open Sans" w:cs="Open Sans"/>
                <w:noProof/>
                <w:webHidden/>
              </w:rPr>
            </w:r>
            <w:r w:rsidR="005548D2" w:rsidRPr="005548D2">
              <w:rPr>
                <w:rFonts w:ascii="Open Sans" w:hAnsi="Open Sans" w:cs="Open Sans"/>
                <w:noProof/>
                <w:webHidden/>
              </w:rPr>
              <w:fldChar w:fldCharType="separate"/>
            </w:r>
            <w:r w:rsidR="005548D2" w:rsidRPr="005548D2">
              <w:rPr>
                <w:rFonts w:ascii="Open Sans" w:hAnsi="Open Sans" w:cs="Open Sans"/>
                <w:noProof/>
                <w:webHidden/>
              </w:rPr>
              <w:t>5</w:t>
            </w:r>
            <w:r w:rsidR="005548D2" w:rsidRPr="005548D2">
              <w:rPr>
                <w:rFonts w:ascii="Open Sans" w:hAnsi="Open Sans" w:cs="Open Sans"/>
                <w:noProof/>
                <w:webHidden/>
              </w:rPr>
              <w:fldChar w:fldCharType="end"/>
            </w:r>
          </w:hyperlink>
        </w:p>
        <w:p w14:paraId="3D2B5E82" w14:textId="58F4DCF7" w:rsidR="005548D2" w:rsidRPr="005548D2" w:rsidRDefault="003E0C81">
          <w:pPr>
            <w:pStyle w:val="TOC2"/>
            <w:tabs>
              <w:tab w:val="right" w:leader="dot" w:pos="9620"/>
            </w:tabs>
            <w:rPr>
              <w:rFonts w:ascii="Open Sans" w:eastAsiaTheme="minorEastAsia" w:hAnsi="Open Sans" w:cs="Open Sans"/>
              <w:noProof/>
              <w:lang w:bidi="ar-SA"/>
            </w:rPr>
          </w:pPr>
          <w:hyperlink w:anchor="_Toc527028790" w:history="1">
            <w:r w:rsidR="005548D2" w:rsidRPr="005548D2">
              <w:rPr>
                <w:rStyle w:val="Hyperlink"/>
                <w:rFonts w:ascii="Open Sans" w:hAnsi="Open Sans" w:cs="Open Sans"/>
                <w:noProof/>
              </w:rPr>
              <w:t>Who?</w:t>
            </w:r>
            <w:r w:rsidR="005548D2" w:rsidRPr="005548D2">
              <w:rPr>
                <w:rFonts w:ascii="Open Sans" w:hAnsi="Open Sans" w:cs="Open Sans"/>
                <w:noProof/>
                <w:webHidden/>
              </w:rPr>
              <w:tab/>
            </w:r>
            <w:r w:rsidR="005548D2" w:rsidRPr="005548D2">
              <w:rPr>
                <w:rFonts w:ascii="Open Sans" w:hAnsi="Open Sans" w:cs="Open Sans"/>
                <w:noProof/>
                <w:webHidden/>
              </w:rPr>
              <w:fldChar w:fldCharType="begin"/>
            </w:r>
            <w:r w:rsidR="005548D2" w:rsidRPr="005548D2">
              <w:rPr>
                <w:rFonts w:ascii="Open Sans" w:hAnsi="Open Sans" w:cs="Open Sans"/>
                <w:noProof/>
                <w:webHidden/>
              </w:rPr>
              <w:instrText xml:space="preserve"> PAGEREF _Toc527028790 \h </w:instrText>
            </w:r>
            <w:r w:rsidR="005548D2" w:rsidRPr="005548D2">
              <w:rPr>
                <w:rFonts w:ascii="Open Sans" w:hAnsi="Open Sans" w:cs="Open Sans"/>
                <w:noProof/>
                <w:webHidden/>
              </w:rPr>
            </w:r>
            <w:r w:rsidR="005548D2" w:rsidRPr="005548D2">
              <w:rPr>
                <w:rFonts w:ascii="Open Sans" w:hAnsi="Open Sans" w:cs="Open Sans"/>
                <w:noProof/>
                <w:webHidden/>
              </w:rPr>
              <w:fldChar w:fldCharType="separate"/>
            </w:r>
            <w:r w:rsidR="005548D2" w:rsidRPr="005548D2">
              <w:rPr>
                <w:rFonts w:ascii="Open Sans" w:hAnsi="Open Sans" w:cs="Open Sans"/>
                <w:noProof/>
                <w:webHidden/>
              </w:rPr>
              <w:t>5</w:t>
            </w:r>
            <w:r w:rsidR="005548D2" w:rsidRPr="005548D2">
              <w:rPr>
                <w:rFonts w:ascii="Open Sans" w:hAnsi="Open Sans" w:cs="Open Sans"/>
                <w:noProof/>
                <w:webHidden/>
              </w:rPr>
              <w:fldChar w:fldCharType="end"/>
            </w:r>
          </w:hyperlink>
        </w:p>
        <w:p w14:paraId="43D57C44" w14:textId="3F8F94EA" w:rsidR="005548D2" w:rsidRPr="005548D2" w:rsidRDefault="003E0C81">
          <w:pPr>
            <w:pStyle w:val="TOC2"/>
            <w:tabs>
              <w:tab w:val="right" w:leader="dot" w:pos="9620"/>
            </w:tabs>
            <w:rPr>
              <w:rFonts w:ascii="Open Sans" w:eastAsiaTheme="minorEastAsia" w:hAnsi="Open Sans" w:cs="Open Sans"/>
              <w:noProof/>
              <w:lang w:bidi="ar-SA"/>
            </w:rPr>
          </w:pPr>
          <w:hyperlink w:anchor="_Toc527028791" w:history="1">
            <w:r w:rsidR="005548D2" w:rsidRPr="005548D2">
              <w:rPr>
                <w:rStyle w:val="Hyperlink"/>
                <w:rFonts w:ascii="Open Sans" w:hAnsi="Open Sans" w:cs="Open Sans"/>
                <w:noProof/>
              </w:rPr>
              <w:t>What?</w:t>
            </w:r>
            <w:r w:rsidR="005548D2" w:rsidRPr="005548D2">
              <w:rPr>
                <w:rFonts w:ascii="Open Sans" w:hAnsi="Open Sans" w:cs="Open Sans"/>
                <w:noProof/>
                <w:webHidden/>
              </w:rPr>
              <w:tab/>
            </w:r>
            <w:r w:rsidR="005548D2" w:rsidRPr="005548D2">
              <w:rPr>
                <w:rFonts w:ascii="Open Sans" w:hAnsi="Open Sans" w:cs="Open Sans"/>
                <w:noProof/>
                <w:webHidden/>
              </w:rPr>
              <w:fldChar w:fldCharType="begin"/>
            </w:r>
            <w:r w:rsidR="005548D2" w:rsidRPr="005548D2">
              <w:rPr>
                <w:rFonts w:ascii="Open Sans" w:hAnsi="Open Sans" w:cs="Open Sans"/>
                <w:noProof/>
                <w:webHidden/>
              </w:rPr>
              <w:instrText xml:space="preserve"> PAGEREF _Toc527028791 \h </w:instrText>
            </w:r>
            <w:r w:rsidR="005548D2" w:rsidRPr="005548D2">
              <w:rPr>
                <w:rFonts w:ascii="Open Sans" w:hAnsi="Open Sans" w:cs="Open Sans"/>
                <w:noProof/>
                <w:webHidden/>
              </w:rPr>
            </w:r>
            <w:r w:rsidR="005548D2" w:rsidRPr="005548D2">
              <w:rPr>
                <w:rFonts w:ascii="Open Sans" w:hAnsi="Open Sans" w:cs="Open Sans"/>
                <w:noProof/>
                <w:webHidden/>
              </w:rPr>
              <w:fldChar w:fldCharType="separate"/>
            </w:r>
            <w:r w:rsidR="005548D2" w:rsidRPr="005548D2">
              <w:rPr>
                <w:rFonts w:ascii="Open Sans" w:hAnsi="Open Sans" w:cs="Open Sans"/>
                <w:noProof/>
                <w:webHidden/>
              </w:rPr>
              <w:t>5</w:t>
            </w:r>
            <w:r w:rsidR="005548D2" w:rsidRPr="005548D2">
              <w:rPr>
                <w:rFonts w:ascii="Open Sans" w:hAnsi="Open Sans" w:cs="Open Sans"/>
                <w:noProof/>
                <w:webHidden/>
              </w:rPr>
              <w:fldChar w:fldCharType="end"/>
            </w:r>
          </w:hyperlink>
        </w:p>
        <w:p w14:paraId="700D0AC7" w14:textId="2BC21AB3" w:rsidR="005548D2" w:rsidRPr="005548D2" w:rsidRDefault="003E0C81">
          <w:pPr>
            <w:pStyle w:val="TOC2"/>
            <w:tabs>
              <w:tab w:val="right" w:leader="dot" w:pos="9620"/>
            </w:tabs>
            <w:rPr>
              <w:rFonts w:ascii="Open Sans" w:eastAsiaTheme="minorEastAsia" w:hAnsi="Open Sans" w:cs="Open Sans"/>
              <w:noProof/>
              <w:lang w:bidi="ar-SA"/>
            </w:rPr>
          </w:pPr>
          <w:hyperlink w:anchor="_Toc527028792" w:history="1">
            <w:r w:rsidR="005548D2" w:rsidRPr="005548D2">
              <w:rPr>
                <w:rStyle w:val="Hyperlink"/>
                <w:rFonts w:ascii="Open Sans" w:hAnsi="Open Sans" w:cs="Open Sans"/>
                <w:noProof/>
              </w:rPr>
              <w:t>How?</w:t>
            </w:r>
            <w:r w:rsidR="005548D2" w:rsidRPr="005548D2">
              <w:rPr>
                <w:rFonts w:ascii="Open Sans" w:hAnsi="Open Sans" w:cs="Open Sans"/>
                <w:noProof/>
                <w:webHidden/>
              </w:rPr>
              <w:tab/>
            </w:r>
            <w:r w:rsidR="005548D2" w:rsidRPr="005548D2">
              <w:rPr>
                <w:rFonts w:ascii="Open Sans" w:hAnsi="Open Sans" w:cs="Open Sans"/>
                <w:noProof/>
                <w:webHidden/>
              </w:rPr>
              <w:fldChar w:fldCharType="begin"/>
            </w:r>
            <w:r w:rsidR="005548D2" w:rsidRPr="005548D2">
              <w:rPr>
                <w:rFonts w:ascii="Open Sans" w:hAnsi="Open Sans" w:cs="Open Sans"/>
                <w:noProof/>
                <w:webHidden/>
              </w:rPr>
              <w:instrText xml:space="preserve"> PAGEREF _Toc527028792 \h </w:instrText>
            </w:r>
            <w:r w:rsidR="005548D2" w:rsidRPr="005548D2">
              <w:rPr>
                <w:rFonts w:ascii="Open Sans" w:hAnsi="Open Sans" w:cs="Open Sans"/>
                <w:noProof/>
                <w:webHidden/>
              </w:rPr>
            </w:r>
            <w:r w:rsidR="005548D2" w:rsidRPr="005548D2">
              <w:rPr>
                <w:rFonts w:ascii="Open Sans" w:hAnsi="Open Sans" w:cs="Open Sans"/>
                <w:noProof/>
                <w:webHidden/>
              </w:rPr>
              <w:fldChar w:fldCharType="separate"/>
            </w:r>
            <w:r w:rsidR="005548D2" w:rsidRPr="005548D2">
              <w:rPr>
                <w:rFonts w:ascii="Open Sans" w:hAnsi="Open Sans" w:cs="Open Sans"/>
                <w:noProof/>
                <w:webHidden/>
              </w:rPr>
              <w:t>5</w:t>
            </w:r>
            <w:r w:rsidR="005548D2" w:rsidRPr="005548D2">
              <w:rPr>
                <w:rFonts w:ascii="Open Sans" w:hAnsi="Open Sans" w:cs="Open Sans"/>
                <w:noProof/>
                <w:webHidden/>
              </w:rPr>
              <w:fldChar w:fldCharType="end"/>
            </w:r>
          </w:hyperlink>
        </w:p>
        <w:p w14:paraId="3F635879" w14:textId="4F9A3C26" w:rsidR="005548D2" w:rsidRPr="005548D2" w:rsidRDefault="003E0C81">
          <w:pPr>
            <w:pStyle w:val="TOC2"/>
            <w:tabs>
              <w:tab w:val="right" w:leader="dot" w:pos="9620"/>
            </w:tabs>
            <w:rPr>
              <w:rFonts w:ascii="Open Sans" w:eastAsiaTheme="minorEastAsia" w:hAnsi="Open Sans" w:cs="Open Sans"/>
              <w:noProof/>
              <w:lang w:bidi="ar-SA"/>
            </w:rPr>
          </w:pPr>
          <w:hyperlink w:anchor="_Toc527028793" w:history="1">
            <w:r w:rsidR="005548D2" w:rsidRPr="005548D2">
              <w:rPr>
                <w:rStyle w:val="Hyperlink"/>
                <w:rFonts w:ascii="Open Sans" w:hAnsi="Open Sans" w:cs="Open Sans"/>
                <w:noProof/>
              </w:rPr>
              <w:t>When?</w:t>
            </w:r>
            <w:r w:rsidR="005548D2" w:rsidRPr="005548D2">
              <w:rPr>
                <w:rFonts w:ascii="Open Sans" w:hAnsi="Open Sans" w:cs="Open Sans"/>
                <w:noProof/>
                <w:webHidden/>
              </w:rPr>
              <w:tab/>
            </w:r>
            <w:r w:rsidR="005548D2" w:rsidRPr="005548D2">
              <w:rPr>
                <w:rFonts w:ascii="Open Sans" w:hAnsi="Open Sans" w:cs="Open Sans"/>
                <w:noProof/>
                <w:webHidden/>
              </w:rPr>
              <w:fldChar w:fldCharType="begin"/>
            </w:r>
            <w:r w:rsidR="005548D2" w:rsidRPr="005548D2">
              <w:rPr>
                <w:rFonts w:ascii="Open Sans" w:hAnsi="Open Sans" w:cs="Open Sans"/>
                <w:noProof/>
                <w:webHidden/>
              </w:rPr>
              <w:instrText xml:space="preserve"> PAGEREF _Toc527028793 \h </w:instrText>
            </w:r>
            <w:r w:rsidR="005548D2" w:rsidRPr="005548D2">
              <w:rPr>
                <w:rFonts w:ascii="Open Sans" w:hAnsi="Open Sans" w:cs="Open Sans"/>
                <w:noProof/>
                <w:webHidden/>
              </w:rPr>
            </w:r>
            <w:r w:rsidR="005548D2" w:rsidRPr="005548D2">
              <w:rPr>
                <w:rFonts w:ascii="Open Sans" w:hAnsi="Open Sans" w:cs="Open Sans"/>
                <w:noProof/>
                <w:webHidden/>
              </w:rPr>
              <w:fldChar w:fldCharType="separate"/>
            </w:r>
            <w:r w:rsidR="005548D2" w:rsidRPr="005548D2">
              <w:rPr>
                <w:rFonts w:ascii="Open Sans" w:hAnsi="Open Sans" w:cs="Open Sans"/>
                <w:noProof/>
                <w:webHidden/>
              </w:rPr>
              <w:t>6</w:t>
            </w:r>
            <w:r w:rsidR="005548D2" w:rsidRPr="005548D2">
              <w:rPr>
                <w:rFonts w:ascii="Open Sans" w:hAnsi="Open Sans" w:cs="Open Sans"/>
                <w:noProof/>
                <w:webHidden/>
              </w:rPr>
              <w:fldChar w:fldCharType="end"/>
            </w:r>
          </w:hyperlink>
        </w:p>
        <w:p w14:paraId="6145EE40" w14:textId="04C6B205" w:rsidR="005548D2" w:rsidRPr="005548D2" w:rsidRDefault="003E0C81">
          <w:pPr>
            <w:pStyle w:val="TOC1"/>
            <w:tabs>
              <w:tab w:val="right" w:leader="dot" w:pos="9620"/>
            </w:tabs>
            <w:rPr>
              <w:rFonts w:ascii="Open Sans" w:eastAsiaTheme="minorEastAsia" w:hAnsi="Open Sans" w:cs="Open Sans"/>
              <w:noProof/>
              <w:lang w:bidi="ar-SA"/>
            </w:rPr>
          </w:pPr>
          <w:hyperlink w:anchor="_Toc527028794" w:history="1">
            <w:r w:rsidR="005548D2" w:rsidRPr="005548D2">
              <w:rPr>
                <w:rStyle w:val="Hyperlink"/>
                <w:rFonts w:ascii="Open Sans" w:hAnsi="Open Sans" w:cs="Open Sans"/>
                <w:noProof/>
              </w:rPr>
              <w:t>INFORMATION AND TRAINING</w:t>
            </w:r>
            <w:r w:rsidR="005548D2" w:rsidRPr="005548D2">
              <w:rPr>
                <w:rFonts w:ascii="Open Sans" w:hAnsi="Open Sans" w:cs="Open Sans"/>
                <w:noProof/>
                <w:webHidden/>
              </w:rPr>
              <w:tab/>
            </w:r>
            <w:r w:rsidR="005548D2" w:rsidRPr="005548D2">
              <w:rPr>
                <w:rFonts w:ascii="Open Sans" w:hAnsi="Open Sans" w:cs="Open Sans"/>
                <w:noProof/>
                <w:webHidden/>
              </w:rPr>
              <w:fldChar w:fldCharType="begin"/>
            </w:r>
            <w:r w:rsidR="005548D2" w:rsidRPr="005548D2">
              <w:rPr>
                <w:rFonts w:ascii="Open Sans" w:hAnsi="Open Sans" w:cs="Open Sans"/>
                <w:noProof/>
                <w:webHidden/>
              </w:rPr>
              <w:instrText xml:space="preserve"> PAGEREF _Toc527028794 \h </w:instrText>
            </w:r>
            <w:r w:rsidR="005548D2" w:rsidRPr="005548D2">
              <w:rPr>
                <w:rFonts w:ascii="Open Sans" w:hAnsi="Open Sans" w:cs="Open Sans"/>
                <w:noProof/>
                <w:webHidden/>
              </w:rPr>
            </w:r>
            <w:r w:rsidR="005548D2" w:rsidRPr="005548D2">
              <w:rPr>
                <w:rFonts w:ascii="Open Sans" w:hAnsi="Open Sans" w:cs="Open Sans"/>
                <w:noProof/>
                <w:webHidden/>
              </w:rPr>
              <w:fldChar w:fldCharType="separate"/>
            </w:r>
            <w:r w:rsidR="005548D2" w:rsidRPr="005548D2">
              <w:rPr>
                <w:rFonts w:ascii="Open Sans" w:hAnsi="Open Sans" w:cs="Open Sans"/>
                <w:noProof/>
                <w:webHidden/>
              </w:rPr>
              <w:t>6</w:t>
            </w:r>
            <w:r w:rsidR="005548D2" w:rsidRPr="005548D2">
              <w:rPr>
                <w:rFonts w:ascii="Open Sans" w:hAnsi="Open Sans" w:cs="Open Sans"/>
                <w:noProof/>
                <w:webHidden/>
              </w:rPr>
              <w:fldChar w:fldCharType="end"/>
            </w:r>
          </w:hyperlink>
        </w:p>
        <w:p w14:paraId="52D1F45A" w14:textId="00D960F5" w:rsidR="005548D2" w:rsidRPr="005548D2" w:rsidRDefault="003E0C81">
          <w:pPr>
            <w:pStyle w:val="TOC1"/>
            <w:tabs>
              <w:tab w:val="right" w:leader="dot" w:pos="9620"/>
            </w:tabs>
            <w:rPr>
              <w:rFonts w:ascii="Open Sans" w:eastAsiaTheme="minorEastAsia" w:hAnsi="Open Sans" w:cs="Open Sans"/>
              <w:noProof/>
              <w:lang w:bidi="ar-SA"/>
            </w:rPr>
          </w:pPr>
          <w:hyperlink w:anchor="_Toc527028795" w:history="1">
            <w:r w:rsidR="005548D2" w:rsidRPr="005548D2">
              <w:rPr>
                <w:rStyle w:val="Hyperlink"/>
                <w:rFonts w:ascii="Open Sans" w:hAnsi="Open Sans" w:cs="Open Sans"/>
                <w:noProof/>
              </w:rPr>
              <w:t>RECORD KEEPING</w:t>
            </w:r>
            <w:r w:rsidR="005548D2" w:rsidRPr="005548D2">
              <w:rPr>
                <w:rFonts w:ascii="Open Sans" w:hAnsi="Open Sans" w:cs="Open Sans"/>
                <w:noProof/>
                <w:webHidden/>
              </w:rPr>
              <w:tab/>
            </w:r>
            <w:r w:rsidR="005548D2" w:rsidRPr="005548D2">
              <w:rPr>
                <w:rFonts w:ascii="Open Sans" w:hAnsi="Open Sans" w:cs="Open Sans"/>
                <w:noProof/>
                <w:webHidden/>
              </w:rPr>
              <w:fldChar w:fldCharType="begin"/>
            </w:r>
            <w:r w:rsidR="005548D2" w:rsidRPr="005548D2">
              <w:rPr>
                <w:rFonts w:ascii="Open Sans" w:hAnsi="Open Sans" w:cs="Open Sans"/>
                <w:noProof/>
                <w:webHidden/>
              </w:rPr>
              <w:instrText xml:space="preserve"> PAGEREF _Toc527028795 \h </w:instrText>
            </w:r>
            <w:r w:rsidR="005548D2" w:rsidRPr="005548D2">
              <w:rPr>
                <w:rFonts w:ascii="Open Sans" w:hAnsi="Open Sans" w:cs="Open Sans"/>
                <w:noProof/>
                <w:webHidden/>
              </w:rPr>
            </w:r>
            <w:r w:rsidR="005548D2" w:rsidRPr="005548D2">
              <w:rPr>
                <w:rFonts w:ascii="Open Sans" w:hAnsi="Open Sans" w:cs="Open Sans"/>
                <w:noProof/>
                <w:webHidden/>
              </w:rPr>
              <w:fldChar w:fldCharType="separate"/>
            </w:r>
            <w:r w:rsidR="005548D2" w:rsidRPr="005548D2">
              <w:rPr>
                <w:rFonts w:ascii="Open Sans" w:hAnsi="Open Sans" w:cs="Open Sans"/>
                <w:noProof/>
                <w:webHidden/>
              </w:rPr>
              <w:t>6</w:t>
            </w:r>
            <w:r w:rsidR="005548D2" w:rsidRPr="005548D2">
              <w:rPr>
                <w:rFonts w:ascii="Open Sans" w:hAnsi="Open Sans" w:cs="Open Sans"/>
                <w:noProof/>
                <w:webHidden/>
              </w:rPr>
              <w:fldChar w:fldCharType="end"/>
            </w:r>
          </w:hyperlink>
        </w:p>
        <w:p w14:paraId="5B97F823" w14:textId="756EC6B0" w:rsidR="005548D2" w:rsidRPr="005548D2" w:rsidRDefault="003E0C81">
          <w:pPr>
            <w:pStyle w:val="TOC1"/>
            <w:tabs>
              <w:tab w:val="right" w:leader="dot" w:pos="9620"/>
            </w:tabs>
            <w:rPr>
              <w:rFonts w:ascii="Open Sans" w:eastAsiaTheme="minorEastAsia" w:hAnsi="Open Sans" w:cs="Open Sans"/>
              <w:noProof/>
              <w:lang w:bidi="ar-SA"/>
            </w:rPr>
          </w:pPr>
          <w:hyperlink w:anchor="_Toc527028796" w:history="1">
            <w:r w:rsidR="005548D2" w:rsidRPr="005548D2">
              <w:rPr>
                <w:rStyle w:val="Hyperlink"/>
                <w:rFonts w:ascii="Open Sans" w:hAnsi="Open Sans" w:cs="Open Sans"/>
                <w:noProof/>
              </w:rPr>
              <w:t>REGULATORY INFORMATION</w:t>
            </w:r>
            <w:r w:rsidR="005548D2" w:rsidRPr="005548D2">
              <w:rPr>
                <w:rFonts w:ascii="Open Sans" w:hAnsi="Open Sans" w:cs="Open Sans"/>
                <w:noProof/>
                <w:webHidden/>
              </w:rPr>
              <w:tab/>
            </w:r>
            <w:r w:rsidR="005548D2" w:rsidRPr="005548D2">
              <w:rPr>
                <w:rFonts w:ascii="Open Sans" w:hAnsi="Open Sans" w:cs="Open Sans"/>
                <w:noProof/>
                <w:webHidden/>
              </w:rPr>
              <w:fldChar w:fldCharType="begin"/>
            </w:r>
            <w:r w:rsidR="005548D2" w:rsidRPr="005548D2">
              <w:rPr>
                <w:rFonts w:ascii="Open Sans" w:hAnsi="Open Sans" w:cs="Open Sans"/>
                <w:noProof/>
                <w:webHidden/>
              </w:rPr>
              <w:instrText xml:space="preserve"> PAGEREF _Toc527028796 \h </w:instrText>
            </w:r>
            <w:r w:rsidR="005548D2" w:rsidRPr="005548D2">
              <w:rPr>
                <w:rFonts w:ascii="Open Sans" w:hAnsi="Open Sans" w:cs="Open Sans"/>
                <w:noProof/>
                <w:webHidden/>
              </w:rPr>
            </w:r>
            <w:r w:rsidR="005548D2" w:rsidRPr="005548D2">
              <w:rPr>
                <w:rFonts w:ascii="Open Sans" w:hAnsi="Open Sans" w:cs="Open Sans"/>
                <w:noProof/>
                <w:webHidden/>
              </w:rPr>
              <w:fldChar w:fldCharType="separate"/>
            </w:r>
            <w:r w:rsidR="005548D2" w:rsidRPr="005548D2">
              <w:rPr>
                <w:rFonts w:ascii="Open Sans" w:hAnsi="Open Sans" w:cs="Open Sans"/>
                <w:noProof/>
                <w:webHidden/>
              </w:rPr>
              <w:t>6</w:t>
            </w:r>
            <w:r w:rsidR="005548D2" w:rsidRPr="005548D2">
              <w:rPr>
                <w:rFonts w:ascii="Open Sans" w:hAnsi="Open Sans" w:cs="Open Sans"/>
                <w:noProof/>
                <w:webHidden/>
              </w:rPr>
              <w:fldChar w:fldCharType="end"/>
            </w:r>
          </w:hyperlink>
        </w:p>
        <w:p w14:paraId="70172F94" w14:textId="60FE1725" w:rsidR="005548D2" w:rsidRDefault="003E0C81">
          <w:pPr>
            <w:pStyle w:val="TOC1"/>
            <w:tabs>
              <w:tab w:val="right" w:leader="dot" w:pos="9620"/>
            </w:tabs>
            <w:rPr>
              <w:rFonts w:asciiTheme="minorHAnsi" w:eastAsiaTheme="minorEastAsia" w:hAnsiTheme="minorHAnsi" w:cstheme="minorBidi"/>
              <w:noProof/>
              <w:lang w:bidi="ar-SA"/>
            </w:rPr>
          </w:pPr>
          <w:hyperlink w:anchor="_Toc527028797" w:history="1">
            <w:r w:rsidR="005548D2" w:rsidRPr="005548D2">
              <w:rPr>
                <w:rStyle w:val="Hyperlink"/>
                <w:rFonts w:ascii="Open Sans" w:hAnsi="Open Sans" w:cs="Open Sans"/>
                <w:noProof/>
              </w:rPr>
              <w:t>POLICY REVIEW</w:t>
            </w:r>
            <w:r w:rsidR="005548D2" w:rsidRPr="005548D2">
              <w:rPr>
                <w:rFonts w:ascii="Open Sans" w:hAnsi="Open Sans" w:cs="Open Sans"/>
                <w:noProof/>
                <w:webHidden/>
              </w:rPr>
              <w:tab/>
            </w:r>
            <w:r w:rsidR="005548D2" w:rsidRPr="005548D2">
              <w:rPr>
                <w:rFonts w:ascii="Open Sans" w:hAnsi="Open Sans" w:cs="Open Sans"/>
                <w:noProof/>
                <w:webHidden/>
              </w:rPr>
              <w:fldChar w:fldCharType="begin"/>
            </w:r>
            <w:r w:rsidR="005548D2" w:rsidRPr="005548D2">
              <w:rPr>
                <w:rFonts w:ascii="Open Sans" w:hAnsi="Open Sans" w:cs="Open Sans"/>
                <w:noProof/>
                <w:webHidden/>
              </w:rPr>
              <w:instrText xml:space="preserve"> PAGEREF _Toc527028797 \h </w:instrText>
            </w:r>
            <w:r w:rsidR="005548D2" w:rsidRPr="005548D2">
              <w:rPr>
                <w:rFonts w:ascii="Open Sans" w:hAnsi="Open Sans" w:cs="Open Sans"/>
                <w:noProof/>
                <w:webHidden/>
              </w:rPr>
            </w:r>
            <w:r w:rsidR="005548D2" w:rsidRPr="005548D2">
              <w:rPr>
                <w:rFonts w:ascii="Open Sans" w:hAnsi="Open Sans" w:cs="Open Sans"/>
                <w:noProof/>
                <w:webHidden/>
              </w:rPr>
              <w:fldChar w:fldCharType="separate"/>
            </w:r>
            <w:r w:rsidR="005548D2" w:rsidRPr="005548D2">
              <w:rPr>
                <w:rFonts w:ascii="Open Sans" w:hAnsi="Open Sans" w:cs="Open Sans"/>
                <w:noProof/>
                <w:webHidden/>
              </w:rPr>
              <w:t>7</w:t>
            </w:r>
            <w:r w:rsidR="005548D2" w:rsidRPr="005548D2">
              <w:rPr>
                <w:rFonts w:ascii="Open Sans" w:hAnsi="Open Sans" w:cs="Open Sans"/>
                <w:noProof/>
                <w:webHidden/>
              </w:rPr>
              <w:fldChar w:fldCharType="end"/>
            </w:r>
          </w:hyperlink>
        </w:p>
        <w:p w14:paraId="2663CD1C" w14:textId="7FBBD742" w:rsidR="00D2402D" w:rsidRPr="0074282F" w:rsidRDefault="00D2402D">
          <w:pPr>
            <w:rPr>
              <w:rFonts w:ascii="Open Sans" w:hAnsi="Open Sans" w:cs="Open Sans"/>
            </w:rPr>
          </w:pPr>
          <w:r w:rsidRPr="007062B3">
            <w:rPr>
              <w:rFonts w:ascii="Open Sans" w:hAnsi="Open Sans" w:cs="Open Sans"/>
              <w:b/>
              <w:bCs/>
              <w:noProof/>
            </w:rPr>
            <w:fldChar w:fldCharType="end"/>
          </w:r>
        </w:p>
      </w:sdtContent>
    </w:sdt>
    <w:p w14:paraId="5F4F7F51" w14:textId="77777777" w:rsidR="00335D99" w:rsidRPr="0074282F" w:rsidRDefault="00335D99">
      <w:pPr>
        <w:spacing w:line="273" w:lineRule="auto"/>
        <w:rPr>
          <w:rFonts w:ascii="Open Sans" w:hAnsi="Open Sans" w:cs="Open Sans"/>
        </w:rPr>
        <w:sectPr w:rsidR="00335D99" w:rsidRPr="0074282F" w:rsidSect="00201FD2">
          <w:pgSz w:w="11910" w:h="16840"/>
          <w:pgMar w:top="136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14:paraId="0E9A8DAE" w14:textId="5C8C91C8" w:rsidR="00D2402D" w:rsidRPr="0074282F" w:rsidRDefault="00C01B37" w:rsidP="0074282F">
      <w:pPr>
        <w:pStyle w:val="Heading1"/>
        <w:rPr>
          <w:rFonts w:cs="Open Sans"/>
          <w:szCs w:val="22"/>
          <w:lang w:bidi="ar-SA"/>
        </w:rPr>
      </w:pPr>
      <w:bookmarkStart w:id="1" w:name="_Toc527028788"/>
      <w:r w:rsidRPr="0074282F">
        <w:rPr>
          <w:rFonts w:cs="Open Sans"/>
          <w:szCs w:val="22"/>
          <w:lang w:bidi="ar-SA"/>
        </w:rPr>
        <w:lastRenderedPageBreak/>
        <w:t>INTRODUCTION</w:t>
      </w:r>
      <w:bookmarkEnd w:id="1"/>
      <w:r w:rsidR="00D2402D" w:rsidRPr="0074282F">
        <w:rPr>
          <w:rFonts w:cs="Open Sans"/>
          <w:szCs w:val="22"/>
          <w:lang w:bidi="ar-SA"/>
        </w:rPr>
        <w:br/>
      </w:r>
    </w:p>
    <w:p w14:paraId="5A3A054E" w14:textId="77777777" w:rsidR="00D2402D" w:rsidRPr="00D2402D" w:rsidRDefault="00D2402D" w:rsidP="00D2402D">
      <w:pPr>
        <w:widowControl/>
        <w:autoSpaceDE/>
        <w:autoSpaceDN/>
        <w:rPr>
          <w:rFonts w:ascii="Open Sans" w:eastAsia="Times New Roman" w:hAnsi="Open Sans" w:cs="Open Sans"/>
          <w:lang w:bidi="ar-SA"/>
        </w:rPr>
      </w:pPr>
      <w:r w:rsidRPr="00D2402D">
        <w:rPr>
          <w:rFonts w:ascii="Open Sans" w:eastAsia="Times New Roman" w:hAnsi="Open Sans" w:cs="Open Sans"/>
          <w:lang w:bidi="ar-SA"/>
        </w:rPr>
        <w:t>The Management of Health and Safety at Work Regulations 1999 (MHSWR 99) requires that formalised risk assessments are carried out to determine operations and / or situations which could impose a severe risk to those involved. All Tower College staff have an obligation to consider the impacts of their own actions (and omissions) on the Health and Safety of others. The procedure for Risk Assessment, as detailed in this policy, is part of the school’s Health and Safety Management Plan. If properly followed it is designed to mitigate the overall risk posed to those undertaking, or associated, with school activities and operations.</w:t>
      </w:r>
      <w:r w:rsidRPr="00D2402D">
        <w:rPr>
          <w:rFonts w:ascii="Open Sans" w:eastAsia="Times New Roman" w:hAnsi="Open Sans" w:cs="Open Sans"/>
          <w:lang w:bidi="ar-SA"/>
        </w:rPr>
        <w:br/>
      </w:r>
    </w:p>
    <w:p w14:paraId="7EEA6AE8" w14:textId="1D8BCBDF" w:rsidR="00D2402D" w:rsidRPr="00D2402D" w:rsidRDefault="00D2402D" w:rsidP="00D2402D">
      <w:pPr>
        <w:widowControl/>
        <w:autoSpaceDE/>
        <w:autoSpaceDN/>
        <w:rPr>
          <w:rFonts w:ascii="Open Sans" w:eastAsia="Times New Roman" w:hAnsi="Open Sans" w:cs="Open Sans"/>
          <w:lang w:bidi="ar-SA"/>
        </w:rPr>
      </w:pPr>
      <w:r w:rsidRPr="00D2402D">
        <w:rPr>
          <w:rFonts w:ascii="Open Sans" w:eastAsia="Times New Roman" w:hAnsi="Open Sans" w:cs="Open Sans"/>
          <w:lang w:bidi="ar-SA"/>
        </w:rPr>
        <w:t xml:space="preserve">With respect to the pupils of Tower College, risk assessments are created to promote their welfare. Particular attention is given to the areas in which the pupils are located and how they are supervised in these locations. Given the </w:t>
      </w:r>
      <w:r w:rsidRPr="0074282F">
        <w:rPr>
          <w:rFonts w:ascii="Open Sans" w:eastAsia="Times New Roman" w:hAnsi="Open Sans" w:cs="Open Sans"/>
          <w:lang w:bidi="ar-SA"/>
        </w:rPr>
        <w:t>high-risk</w:t>
      </w:r>
      <w:r w:rsidRPr="00D2402D">
        <w:rPr>
          <w:rFonts w:ascii="Open Sans" w:eastAsia="Times New Roman" w:hAnsi="Open Sans" w:cs="Open Sans"/>
          <w:lang w:bidi="ar-SA"/>
        </w:rPr>
        <w:t xml:space="preserve"> nature of Educational Visits, we have a dedicated Educational Visits’ Coordinator (Mr Craig Wells) who ensures that all educational visits are properly risk assessed.</w:t>
      </w:r>
      <w:r w:rsidRPr="00D2402D">
        <w:rPr>
          <w:rFonts w:ascii="Open Sans" w:eastAsia="Times New Roman" w:hAnsi="Open Sans" w:cs="Open Sans"/>
          <w:lang w:bidi="ar-SA"/>
        </w:rPr>
        <w:br/>
      </w:r>
    </w:p>
    <w:p w14:paraId="021443DD" w14:textId="77777777" w:rsidR="00D2402D" w:rsidRPr="00D2402D" w:rsidRDefault="00D2402D" w:rsidP="00D2402D">
      <w:pPr>
        <w:widowControl/>
        <w:autoSpaceDE/>
        <w:autoSpaceDN/>
        <w:rPr>
          <w:rFonts w:ascii="Open Sans" w:eastAsia="Times New Roman" w:hAnsi="Open Sans" w:cs="Open Sans"/>
          <w:lang w:bidi="ar-SA"/>
        </w:rPr>
      </w:pPr>
      <w:r w:rsidRPr="00D2402D">
        <w:rPr>
          <w:rFonts w:ascii="Open Sans" w:eastAsia="Times New Roman" w:hAnsi="Open Sans" w:cs="Open Sans"/>
          <w:lang w:bidi="ar-SA"/>
        </w:rPr>
        <w:t>Mr Wells keeps documented evidence of all trips and ensures that staff follow the Educational Visits Policy. This policy includes a ‘global’ risk assessment that must be adhered to.</w:t>
      </w:r>
      <w:r w:rsidRPr="00D2402D">
        <w:rPr>
          <w:rFonts w:ascii="Open Sans" w:eastAsia="Times New Roman" w:hAnsi="Open Sans" w:cs="Open Sans"/>
          <w:lang w:bidi="ar-SA"/>
        </w:rPr>
        <w:br/>
      </w:r>
    </w:p>
    <w:p w14:paraId="5E7C393E" w14:textId="77777777" w:rsidR="00D2402D" w:rsidRPr="00D2402D" w:rsidRDefault="00D2402D" w:rsidP="00D2402D">
      <w:pPr>
        <w:widowControl/>
        <w:autoSpaceDE/>
        <w:autoSpaceDN/>
        <w:rPr>
          <w:rFonts w:ascii="Open Sans" w:eastAsia="Times New Roman" w:hAnsi="Open Sans" w:cs="Open Sans"/>
          <w:lang w:bidi="ar-SA"/>
        </w:rPr>
      </w:pPr>
      <w:r w:rsidRPr="00D2402D">
        <w:rPr>
          <w:rFonts w:ascii="Open Sans" w:eastAsia="Times New Roman" w:hAnsi="Open Sans" w:cs="Open Sans"/>
          <w:lang w:bidi="ar-SA"/>
        </w:rPr>
        <w:t>Mrs O’Grady, as Head of EYFS, ensures that all the relevant EYFS risk assessments are in place and holds all the appropriate documentation.</w:t>
      </w:r>
      <w:r w:rsidRPr="00D2402D">
        <w:rPr>
          <w:rFonts w:ascii="Open Sans" w:eastAsia="Times New Roman" w:hAnsi="Open Sans" w:cs="Open Sans"/>
          <w:lang w:bidi="ar-SA"/>
        </w:rPr>
        <w:br/>
      </w:r>
    </w:p>
    <w:p w14:paraId="5EACF610" w14:textId="77777777" w:rsidR="00D2402D" w:rsidRPr="00D2402D" w:rsidRDefault="00D2402D" w:rsidP="00D2402D">
      <w:pPr>
        <w:widowControl/>
        <w:autoSpaceDE/>
        <w:autoSpaceDN/>
        <w:rPr>
          <w:rFonts w:ascii="Open Sans" w:eastAsia="Times New Roman" w:hAnsi="Open Sans" w:cs="Open Sans"/>
          <w:lang w:bidi="ar-SA"/>
        </w:rPr>
      </w:pPr>
      <w:r w:rsidRPr="00D2402D">
        <w:rPr>
          <w:rFonts w:ascii="Open Sans" w:eastAsia="Times New Roman" w:hAnsi="Open Sans" w:cs="Open Sans"/>
          <w:lang w:bidi="ar-SA"/>
        </w:rPr>
        <w:t>It would be impossible to Risk Assess every operation or activity that a school undertakes. To that end the legislation dictates that only activities attracting the possibility of a Severe Risk need be Risk Assessed. Notwithstanding, when considering activities attracting the possibility of Severe risk the Competent Person should also consider Medium and Low risk issues in their planning, as it is entirely possible that any combination of Low or Medium risk activities could manifest themselves as a Severe risk, should the circumstances allow. Only activities identified as Severe or Medium need be mitigated through a Safe System of Work as detailed below.</w:t>
      </w:r>
      <w:r w:rsidRPr="00D2402D">
        <w:rPr>
          <w:rFonts w:ascii="Open Sans" w:eastAsia="Times New Roman" w:hAnsi="Open Sans" w:cs="Open Sans"/>
          <w:lang w:bidi="ar-SA"/>
        </w:rPr>
        <w:br/>
      </w:r>
    </w:p>
    <w:p w14:paraId="2C689BEE" w14:textId="77777777" w:rsidR="00D2402D" w:rsidRPr="00D2402D" w:rsidRDefault="00D2402D" w:rsidP="00D2402D">
      <w:pPr>
        <w:widowControl/>
        <w:autoSpaceDE/>
        <w:autoSpaceDN/>
        <w:rPr>
          <w:rFonts w:ascii="Open Sans" w:eastAsia="Times New Roman" w:hAnsi="Open Sans" w:cs="Open Sans"/>
          <w:lang w:bidi="ar-SA"/>
        </w:rPr>
      </w:pPr>
      <w:r w:rsidRPr="00D2402D">
        <w:rPr>
          <w:rFonts w:ascii="Open Sans" w:eastAsia="Times New Roman" w:hAnsi="Open Sans" w:cs="Open Sans"/>
          <w:lang w:bidi="ar-SA"/>
        </w:rPr>
        <w:t>If a Risk Assessment is being produced on a new activity or for the first time, or if the assessment is following a change in the law or an incident surrounding the activity being assessed, the new Risk Assessment must be approved by the Principal and/or Bursar; this may involve seeking expert advice from our Health and Safety consultant, Mr Gary Sullivan from Citation.</w:t>
      </w:r>
      <w:r w:rsidRPr="00D2402D">
        <w:rPr>
          <w:rFonts w:ascii="Open Sans" w:eastAsia="Times New Roman" w:hAnsi="Open Sans" w:cs="Open Sans"/>
          <w:lang w:bidi="ar-SA"/>
        </w:rPr>
        <w:br/>
      </w:r>
    </w:p>
    <w:p w14:paraId="4432C450" w14:textId="77777777" w:rsidR="00D2402D" w:rsidRPr="00D2402D" w:rsidRDefault="00D2402D" w:rsidP="00D2402D">
      <w:pPr>
        <w:widowControl/>
        <w:autoSpaceDE/>
        <w:autoSpaceDN/>
        <w:rPr>
          <w:rFonts w:ascii="Open Sans" w:eastAsia="Times New Roman" w:hAnsi="Open Sans" w:cs="Open Sans"/>
          <w:lang w:bidi="ar-SA"/>
        </w:rPr>
      </w:pPr>
      <w:r w:rsidRPr="00D2402D">
        <w:rPr>
          <w:rFonts w:ascii="Open Sans" w:eastAsia="Times New Roman" w:hAnsi="Open Sans" w:cs="Open Sans"/>
          <w:lang w:bidi="ar-SA"/>
        </w:rPr>
        <w:t>Assessments should identify significant hazards to our team members and to any other person who may be affected including our students, visitors and contractors. Most assessments will include consideration of:</w:t>
      </w:r>
      <w:r w:rsidRPr="00D2402D">
        <w:rPr>
          <w:rFonts w:ascii="Open Sans" w:eastAsia="Times New Roman" w:hAnsi="Open Sans" w:cs="Open Sans"/>
          <w:lang w:bidi="ar-SA"/>
        </w:rPr>
        <w:br/>
      </w:r>
    </w:p>
    <w:p w14:paraId="6AA21C82" w14:textId="77777777" w:rsidR="00D2402D" w:rsidRPr="00D2402D" w:rsidRDefault="00D2402D" w:rsidP="00D2402D">
      <w:pPr>
        <w:widowControl/>
        <w:numPr>
          <w:ilvl w:val="0"/>
          <w:numId w:val="4"/>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The Task (people, materials, substances)</w:t>
      </w:r>
    </w:p>
    <w:p w14:paraId="682C9332" w14:textId="77777777" w:rsidR="00D2402D" w:rsidRPr="00D2402D" w:rsidRDefault="00D2402D" w:rsidP="00D2402D">
      <w:pPr>
        <w:widowControl/>
        <w:numPr>
          <w:ilvl w:val="0"/>
          <w:numId w:val="4"/>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The working environment (both immediate and surrounding)</w:t>
      </w:r>
    </w:p>
    <w:p w14:paraId="1117DB8E" w14:textId="77777777" w:rsidR="00D2402D" w:rsidRPr="00D2402D" w:rsidRDefault="00D2402D" w:rsidP="00D2402D">
      <w:pPr>
        <w:widowControl/>
        <w:numPr>
          <w:ilvl w:val="0"/>
          <w:numId w:val="4"/>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Working materials and tools (including plant and equipment)</w:t>
      </w:r>
    </w:p>
    <w:p w14:paraId="5B4E89C3" w14:textId="77777777" w:rsidR="00D2402D" w:rsidRPr="00D2402D" w:rsidRDefault="00D2402D" w:rsidP="00D2402D">
      <w:pPr>
        <w:widowControl/>
        <w:numPr>
          <w:ilvl w:val="0"/>
          <w:numId w:val="4"/>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The suitability of those carrying out the task (safeguarding checks, experience, training)</w:t>
      </w:r>
    </w:p>
    <w:p w14:paraId="6F07DA00" w14:textId="77777777" w:rsidR="00D2402D" w:rsidRPr="00D2402D" w:rsidRDefault="00D2402D" w:rsidP="00D2402D">
      <w:pPr>
        <w:widowControl/>
        <w:numPr>
          <w:ilvl w:val="0"/>
          <w:numId w:val="4"/>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Arrangements for emergency rescue</w:t>
      </w:r>
    </w:p>
    <w:p w14:paraId="1B431BE0" w14:textId="77777777" w:rsidR="00D2402D" w:rsidRPr="00D2402D" w:rsidRDefault="00D2402D" w:rsidP="00D2402D">
      <w:pPr>
        <w:widowControl/>
        <w:autoSpaceDE/>
        <w:autoSpaceDN/>
        <w:rPr>
          <w:rFonts w:ascii="Open Sans" w:eastAsia="Times New Roman" w:hAnsi="Open Sans" w:cs="Open Sans"/>
          <w:lang w:bidi="ar-SA"/>
        </w:rPr>
      </w:pPr>
      <w:r w:rsidRPr="00D2402D">
        <w:rPr>
          <w:rFonts w:ascii="Open Sans" w:eastAsia="Times New Roman" w:hAnsi="Open Sans" w:cs="Open Sans"/>
          <w:lang w:bidi="ar-SA"/>
        </w:rPr>
        <w:lastRenderedPageBreak/>
        <w:t xml:space="preserve">MHSWR 99 requires that risk assessments remain up to date, which means any significant change affecting risk (e.g. a new team member, machine or work practice), should lead to a re-assessment of risk, as should any observation or incident </w:t>
      </w:r>
      <w:proofErr w:type="gramStart"/>
      <w:r w:rsidRPr="00D2402D">
        <w:rPr>
          <w:rFonts w:ascii="Open Sans" w:eastAsia="Times New Roman" w:hAnsi="Open Sans" w:cs="Open Sans"/>
          <w:lang w:bidi="ar-SA"/>
        </w:rPr>
        <w:t>reported</w:t>
      </w:r>
      <w:proofErr w:type="gramEnd"/>
      <w:r w:rsidRPr="00D2402D">
        <w:rPr>
          <w:rFonts w:ascii="Open Sans" w:eastAsia="Times New Roman" w:hAnsi="Open Sans" w:cs="Open Sans"/>
          <w:lang w:bidi="ar-SA"/>
        </w:rPr>
        <w:t xml:space="preserve"> through the School Incident Reporting system.</w:t>
      </w:r>
      <w:r w:rsidRPr="00D2402D">
        <w:rPr>
          <w:rFonts w:ascii="Open Sans" w:eastAsia="Times New Roman" w:hAnsi="Open Sans" w:cs="Open Sans"/>
          <w:lang w:bidi="ar-SA"/>
        </w:rPr>
        <w:br/>
      </w:r>
    </w:p>
    <w:p w14:paraId="109519A0" w14:textId="77777777" w:rsidR="0074282F" w:rsidRPr="0074282F" w:rsidRDefault="00D2402D" w:rsidP="00D2402D">
      <w:pPr>
        <w:widowControl/>
        <w:autoSpaceDE/>
        <w:autoSpaceDN/>
        <w:rPr>
          <w:rFonts w:ascii="Open Sans" w:eastAsia="Times New Roman" w:hAnsi="Open Sans" w:cs="Open Sans"/>
          <w:b/>
          <w:bCs/>
          <w:lang w:bidi="ar-SA"/>
        </w:rPr>
      </w:pPr>
      <w:r w:rsidRPr="00D2402D">
        <w:rPr>
          <w:rFonts w:ascii="Open Sans" w:eastAsia="Times New Roman" w:hAnsi="Open Sans" w:cs="Open Sans"/>
          <w:lang w:bidi="ar-SA"/>
        </w:rPr>
        <w:t>The School maintains a record of all Risk Assessments in its online Health &amp; Safety Training Portal (Peritus). All Risk Assessments are available to be downloaded and staff are required to confirm that they have read the risk assessments.</w:t>
      </w:r>
      <w:r w:rsidRPr="00D2402D">
        <w:rPr>
          <w:rFonts w:ascii="Open Sans" w:eastAsia="Times New Roman" w:hAnsi="Open Sans" w:cs="Open Sans"/>
          <w:lang w:bidi="ar-SA"/>
        </w:rPr>
        <w:br/>
      </w:r>
      <w:r w:rsidRPr="00D2402D">
        <w:rPr>
          <w:rFonts w:ascii="Open Sans" w:eastAsia="Times New Roman" w:hAnsi="Open Sans" w:cs="Open Sans"/>
          <w:lang w:bidi="ar-SA"/>
        </w:rPr>
        <w:br/>
      </w:r>
    </w:p>
    <w:p w14:paraId="2A878A27" w14:textId="77777777" w:rsidR="0074282F" w:rsidRPr="0074282F" w:rsidRDefault="0074282F">
      <w:pPr>
        <w:rPr>
          <w:rFonts w:ascii="Open Sans" w:eastAsia="Times New Roman" w:hAnsi="Open Sans" w:cs="Open Sans"/>
          <w:b/>
          <w:bCs/>
          <w:lang w:bidi="ar-SA"/>
        </w:rPr>
      </w:pPr>
      <w:r w:rsidRPr="0074282F">
        <w:rPr>
          <w:rFonts w:ascii="Open Sans" w:eastAsia="Times New Roman" w:hAnsi="Open Sans" w:cs="Open Sans"/>
          <w:b/>
          <w:bCs/>
          <w:lang w:bidi="ar-SA"/>
        </w:rPr>
        <w:br w:type="page"/>
      </w:r>
    </w:p>
    <w:p w14:paraId="78912D2C" w14:textId="758719D5" w:rsidR="00D2402D" w:rsidRPr="0074282F" w:rsidRDefault="00C01B37" w:rsidP="0074282F">
      <w:pPr>
        <w:pStyle w:val="Heading1"/>
        <w:rPr>
          <w:rFonts w:cs="Open Sans"/>
          <w:szCs w:val="22"/>
          <w:lang w:bidi="ar-SA"/>
        </w:rPr>
      </w:pPr>
      <w:bookmarkStart w:id="2" w:name="_Toc527028789"/>
      <w:r w:rsidRPr="0074282F">
        <w:rPr>
          <w:rFonts w:cs="Open Sans"/>
          <w:szCs w:val="22"/>
          <w:lang w:bidi="ar-SA"/>
        </w:rPr>
        <w:lastRenderedPageBreak/>
        <w:t>RISK ASSESSMENTS PROCEDURES (WHO, WHAT, HOW, WHEN)</w:t>
      </w:r>
      <w:bookmarkEnd w:id="2"/>
      <w:r w:rsidR="00D2402D" w:rsidRPr="0074282F">
        <w:rPr>
          <w:rFonts w:cs="Open Sans"/>
          <w:szCs w:val="22"/>
          <w:lang w:bidi="ar-SA"/>
        </w:rPr>
        <w:br/>
      </w:r>
    </w:p>
    <w:p w14:paraId="747EF827" w14:textId="77777777" w:rsidR="00D2402D" w:rsidRPr="00D2402D" w:rsidRDefault="00D2402D" w:rsidP="00D2402D">
      <w:pPr>
        <w:widowControl/>
        <w:autoSpaceDE/>
        <w:autoSpaceDN/>
        <w:rPr>
          <w:rFonts w:ascii="Open Sans" w:eastAsia="Times New Roman" w:hAnsi="Open Sans" w:cs="Open Sans"/>
          <w:lang w:bidi="ar-SA"/>
        </w:rPr>
      </w:pPr>
      <w:bookmarkStart w:id="3" w:name="_Toc527028790"/>
      <w:r w:rsidRPr="00D2402D">
        <w:rPr>
          <w:rStyle w:val="Heading2Char"/>
          <w:lang w:bidi="ar-SA"/>
        </w:rPr>
        <w:t>Who?</w:t>
      </w:r>
      <w:bookmarkEnd w:id="3"/>
      <w:r w:rsidRPr="00D2402D">
        <w:rPr>
          <w:rFonts w:ascii="Open Sans" w:eastAsia="Times New Roman" w:hAnsi="Open Sans" w:cs="Open Sans"/>
          <w:lang w:bidi="ar-SA"/>
        </w:rPr>
        <w:t xml:space="preserve"> – A Risk Assessment should be carried out by a Competent Person, </w:t>
      </w:r>
      <w:proofErr w:type="gramStart"/>
      <w:r w:rsidRPr="00D2402D">
        <w:rPr>
          <w:rFonts w:ascii="Open Sans" w:eastAsia="Times New Roman" w:hAnsi="Open Sans" w:cs="Open Sans"/>
          <w:lang w:bidi="ar-SA"/>
        </w:rPr>
        <w:t>that is to say one</w:t>
      </w:r>
      <w:proofErr w:type="gramEnd"/>
      <w:r w:rsidRPr="00D2402D">
        <w:rPr>
          <w:rFonts w:ascii="Open Sans" w:eastAsia="Times New Roman" w:hAnsi="Open Sans" w:cs="Open Sans"/>
          <w:lang w:bidi="ar-SA"/>
        </w:rPr>
        <w:t xml:space="preserve"> with experience of the situation or operation being carried out. Should anyone feel they are not competent to carry out a Risk Assessment they should seek help from their Head of Department or the Bursar. The risk assessments are carried out by Mr Taylor, Mr Barr, Mrs O’ Grady and Mrs Knox.</w:t>
      </w:r>
      <w:r w:rsidRPr="00D2402D">
        <w:rPr>
          <w:rFonts w:ascii="Open Sans" w:eastAsia="Times New Roman" w:hAnsi="Open Sans" w:cs="Open Sans"/>
          <w:lang w:bidi="ar-SA"/>
        </w:rPr>
        <w:br/>
      </w:r>
    </w:p>
    <w:p w14:paraId="4602E415" w14:textId="77777777" w:rsidR="00D2402D" w:rsidRPr="00D2402D" w:rsidRDefault="00D2402D" w:rsidP="00D2402D">
      <w:pPr>
        <w:widowControl/>
        <w:autoSpaceDE/>
        <w:autoSpaceDN/>
        <w:rPr>
          <w:rFonts w:ascii="Open Sans" w:eastAsia="Times New Roman" w:hAnsi="Open Sans" w:cs="Open Sans"/>
          <w:lang w:bidi="ar-SA"/>
        </w:rPr>
      </w:pPr>
      <w:bookmarkStart w:id="4" w:name="_Toc527028791"/>
      <w:r w:rsidRPr="00D2402D">
        <w:rPr>
          <w:rStyle w:val="Heading2Char"/>
          <w:lang w:bidi="ar-SA"/>
        </w:rPr>
        <w:t>What?</w:t>
      </w:r>
      <w:bookmarkEnd w:id="4"/>
      <w:r w:rsidRPr="00D2402D">
        <w:rPr>
          <w:rFonts w:ascii="Open Sans" w:eastAsia="Times New Roman" w:hAnsi="Open Sans" w:cs="Open Sans"/>
          <w:lang w:bidi="ar-SA"/>
        </w:rPr>
        <w:t> – The Competent Person should list all the Activities required to carry out any Operation, from this all reasonable Hazards posed by such activities. The Risk posed by each Hazard is then quantified numerically using the formula Likelihood x Severity.</w:t>
      </w:r>
      <w:r w:rsidRPr="00D2402D">
        <w:rPr>
          <w:rFonts w:ascii="Open Sans" w:eastAsia="Times New Roman" w:hAnsi="Open Sans" w:cs="Open Sans"/>
          <w:lang w:bidi="ar-SA"/>
        </w:rPr>
        <w:br/>
      </w:r>
    </w:p>
    <w:p w14:paraId="77F4D377" w14:textId="77777777" w:rsidR="00D2402D" w:rsidRPr="00D2402D" w:rsidRDefault="00D2402D" w:rsidP="00D2402D">
      <w:pPr>
        <w:widowControl/>
        <w:autoSpaceDE/>
        <w:autoSpaceDN/>
        <w:rPr>
          <w:rFonts w:ascii="Open Sans" w:eastAsia="Times New Roman" w:hAnsi="Open Sans" w:cs="Open Sans"/>
          <w:lang w:bidi="ar-SA"/>
        </w:rPr>
      </w:pPr>
      <w:bookmarkStart w:id="5" w:name="_Toc527028792"/>
      <w:r w:rsidRPr="00D2402D">
        <w:rPr>
          <w:rStyle w:val="Heading2Char"/>
          <w:lang w:bidi="ar-SA"/>
        </w:rPr>
        <w:t>How?</w:t>
      </w:r>
      <w:bookmarkEnd w:id="5"/>
      <w:r w:rsidRPr="00D2402D">
        <w:rPr>
          <w:rFonts w:ascii="Open Sans" w:eastAsia="Times New Roman" w:hAnsi="Open Sans" w:cs="Open Sans"/>
          <w:lang w:bidi="ar-SA"/>
        </w:rPr>
        <w:t xml:space="preserve"> – To establish whether the Risk is Severe, Medium or Minor, Tower College uses </w:t>
      </w:r>
      <w:proofErr w:type="spellStart"/>
      <w:r w:rsidRPr="00D2402D">
        <w:rPr>
          <w:rFonts w:ascii="Open Sans" w:eastAsia="Times New Roman" w:hAnsi="Open Sans" w:cs="Open Sans"/>
          <w:lang w:bidi="ar-SA"/>
        </w:rPr>
        <w:t>the</w:t>
      </w:r>
      <w:r w:rsidRPr="00D2402D">
        <w:rPr>
          <w:rFonts w:ascii="Open Sans" w:eastAsia="Times New Roman" w:hAnsi="Open Sans" w:cs="Open Sans"/>
          <w:i/>
          <w:iCs/>
          <w:lang w:bidi="ar-SA"/>
        </w:rPr>
        <w:t>Citassess</w:t>
      </w:r>
      <w:proofErr w:type="spellEnd"/>
      <w:r w:rsidRPr="00D2402D">
        <w:rPr>
          <w:rFonts w:ascii="Open Sans" w:eastAsia="Times New Roman" w:hAnsi="Open Sans" w:cs="Open Sans"/>
          <w:i/>
          <w:iCs/>
          <w:lang w:bidi="ar-SA"/>
        </w:rPr>
        <w:t xml:space="preserve"> Risk Management</w:t>
      </w:r>
      <w:r w:rsidRPr="00D2402D">
        <w:rPr>
          <w:rFonts w:ascii="Open Sans" w:eastAsia="Times New Roman" w:hAnsi="Open Sans" w:cs="Open Sans"/>
          <w:lang w:bidi="ar-SA"/>
        </w:rPr>
        <w:t> System used which adopts the RISK = LIKELIHOOD x SEVERITY formula. In this systematic fashion, we ensure that the children’s welfare is given the highest priority.</w:t>
      </w:r>
      <w:r w:rsidRPr="00D2402D">
        <w:rPr>
          <w:rFonts w:ascii="Open Sans" w:eastAsia="Times New Roman" w:hAnsi="Open Sans" w:cs="Open Sans"/>
          <w:lang w:bidi="ar-SA"/>
        </w:rPr>
        <w:br/>
      </w:r>
    </w:p>
    <w:p w14:paraId="06617445" w14:textId="77777777" w:rsidR="00D2402D" w:rsidRPr="00D2402D" w:rsidRDefault="00D2402D" w:rsidP="00D2402D">
      <w:pPr>
        <w:widowControl/>
        <w:autoSpaceDE/>
        <w:autoSpaceDN/>
        <w:rPr>
          <w:rFonts w:ascii="Open Sans" w:eastAsia="Times New Roman" w:hAnsi="Open Sans" w:cs="Open Sans"/>
          <w:lang w:bidi="ar-SA"/>
        </w:rPr>
      </w:pPr>
      <w:r w:rsidRPr="00D2402D">
        <w:rPr>
          <w:rFonts w:ascii="Open Sans" w:eastAsia="Times New Roman" w:hAnsi="Open Sans" w:cs="Open Sans"/>
          <w:lang w:bidi="ar-SA"/>
        </w:rPr>
        <w:t xml:space="preserve">If a </w:t>
      </w:r>
      <w:proofErr w:type="gramStart"/>
      <w:r w:rsidRPr="00D2402D">
        <w:rPr>
          <w:rFonts w:ascii="Open Sans" w:eastAsia="Times New Roman" w:hAnsi="Open Sans" w:cs="Open Sans"/>
          <w:lang w:bidi="ar-SA"/>
        </w:rPr>
        <w:t>high risk</w:t>
      </w:r>
      <w:proofErr w:type="gramEnd"/>
      <w:r w:rsidRPr="00D2402D">
        <w:rPr>
          <w:rFonts w:ascii="Open Sans" w:eastAsia="Times New Roman" w:hAnsi="Open Sans" w:cs="Open Sans"/>
          <w:lang w:bidi="ar-SA"/>
        </w:rPr>
        <w:t xml:space="preserve"> rating is obtained, then Safe System of Work is then required to mitigate either Likelihood or Severity and bring the Risk score down to Minor.</w:t>
      </w:r>
      <w:r w:rsidRPr="00D2402D">
        <w:rPr>
          <w:rFonts w:ascii="Open Sans" w:eastAsia="Times New Roman" w:hAnsi="Open Sans" w:cs="Open Sans"/>
          <w:lang w:bidi="ar-SA"/>
        </w:rPr>
        <w:br/>
      </w:r>
    </w:p>
    <w:p w14:paraId="63B62E3E" w14:textId="77777777" w:rsidR="00D2402D" w:rsidRPr="00D2402D" w:rsidRDefault="00D2402D" w:rsidP="00D2402D">
      <w:pPr>
        <w:widowControl/>
        <w:autoSpaceDE/>
        <w:autoSpaceDN/>
        <w:rPr>
          <w:rFonts w:ascii="Open Sans" w:eastAsia="Times New Roman" w:hAnsi="Open Sans" w:cs="Open Sans"/>
          <w:lang w:bidi="ar-SA"/>
        </w:rPr>
      </w:pPr>
      <w:r w:rsidRPr="00D2402D">
        <w:rPr>
          <w:rFonts w:ascii="Open Sans" w:eastAsia="Times New Roman" w:hAnsi="Open Sans" w:cs="Open Sans"/>
          <w:lang w:bidi="ar-SA"/>
        </w:rPr>
        <w:t>Any Safe Systems of Work will not be generic and will be tailored to each specific job. It will consider the following processes as a minimum, where relevant:</w:t>
      </w:r>
      <w:r w:rsidRPr="00D2402D">
        <w:rPr>
          <w:rFonts w:ascii="Open Sans" w:eastAsia="Times New Roman" w:hAnsi="Open Sans" w:cs="Open Sans"/>
          <w:lang w:bidi="ar-SA"/>
        </w:rPr>
        <w:br/>
      </w:r>
    </w:p>
    <w:p w14:paraId="5F18DCAF" w14:textId="77777777" w:rsidR="00D2402D" w:rsidRPr="00D2402D" w:rsidRDefault="00D2402D" w:rsidP="00D2402D">
      <w:pPr>
        <w:widowControl/>
        <w:numPr>
          <w:ilvl w:val="0"/>
          <w:numId w:val="5"/>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Controlling Access/Egress – consideration as to evacuation / movement of large groups</w:t>
      </w:r>
    </w:p>
    <w:p w14:paraId="57D70F72" w14:textId="77777777" w:rsidR="00D2402D" w:rsidRPr="00D2402D" w:rsidRDefault="00D2402D" w:rsidP="00D2402D">
      <w:pPr>
        <w:widowControl/>
        <w:numPr>
          <w:ilvl w:val="0"/>
          <w:numId w:val="5"/>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Use of Support staff – as required to trouble shoot problems and ensure legislative compliance with buildings and fire regulations</w:t>
      </w:r>
    </w:p>
    <w:p w14:paraId="70787B80" w14:textId="77777777" w:rsidR="00D2402D" w:rsidRPr="00D2402D" w:rsidRDefault="00D2402D" w:rsidP="00D2402D">
      <w:pPr>
        <w:widowControl/>
        <w:numPr>
          <w:ilvl w:val="0"/>
          <w:numId w:val="5"/>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Compliance with School First Aid Policy and School Fire Policy through the provision of trained First Aid and Fire Marshall personnel, as required by the identified risk</w:t>
      </w:r>
    </w:p>
    <w:p w14:paraId="5926DDB3" w14:textId="77777777" w:rsidR="00D2402D" w:rsidRPr="00D2402D" w:rsidRDefault="00D2402D" w:rsidP="00D2402D">
      <w:pPr>
        <w:widowControl/>
        <w:numPr>
          <w:ilvl w:val="0"/>
          <w:numId w:val="5"/>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Tailoring Emergency procedures (use of personnel, radio or other communications)</w:t>
      </w:r>
    </w:p>
    <w:p w14:paraId="43141423" w14:textId="77777777" w:rsidR="00D2402D" w:rsidRPr="00D2402D" w:rsidRDefault="00D2402D" w:rsidP="00D2402D">
      <w:pPr>
        <w:widowControl/>
        <w:numPr>
          <w:ilvl w:val="0"/>
          <w:numId w:val="5"/>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Identifying Hazardous substances</w:t>
      </w:r>
    </w:p>
    <w:p w14:paraId="74556312" w14:textId="77777777" w:rsidR="00D2402D" w:rsidRPr="00D2402D" w:rsidRDefault="00D2402D" w:rsidP="00D2402D">
      <w:pPr>
        <w:widowControl/>
        <w:numPr>
          <w:ilvl w:val="0"/>
          <w:numId w:val="5"/>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Analysis of the Task; Housekeeping requirements, Time and duration, Lighting, Required Tools, Training and Methods to be applied, Environmental Considerations, PPE / RPE</w:t>
      </w:r>
    </w:p>
    <w:p w14:paraId="0AC69A03" w14:textId="77777777" w:rsidR="00D2402D" w:rsidRPr="00D2402D" w:rsidRDefault="00D2402D" w:rsidP="00D2402D">
      <w:pPr>
        <w:widowControl/>
        <w:numPr>
          <w:ilvl w:val="0"/>
          <w:numId w:val="5"/>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Facilities required / available to ensure the well-being of all concerned (comfort, temperature, nutrition, hydration, emotional and physical support)</w:t>
      </w:r>
    </w:p>
    <w:p w14:paraId="000F0AEF" w14:textId="77777777" w:rsidR="00D2402D" w:rsidRPr="00D2402D" w:rsidRDefault="00D2402D" w:rsidP="00D2402D">
      <w:pPr>
        <w:widowControl/>
        <w:autoSpaceDE/>
        <w:autoSpaceDN/>
        <w:rPr>
          <w:rFonts w:ascii="Open Sans" w:eastAsia="Times New Roman" w:hAnsi="Open Sans" w:cs="Open Sans"/>
          <w:lang w:bidi="ar-SA"/>
        </w:rPr>
      </w:pPr>
      <w:r w:rsidRPr="00D2402D">
        <w:rPr>
          <w:rFonts w:ascii="Open Sans" w:eastAsia="Times New Roman" w:hAnsi="Open Sans" w:cs="Open Sans"/>
          <w:lang w:bidi="ar-SA"/>
        </w:rPr>
        <w:t xml:space="preserve">If the implementation of a Safe Systems of Work is not </w:t>
      </w:r>
      <w:proofErr w:type="gramStart"/>
      <w:r w:rsidRPr="00D2402D">
        <w:rPr>
          <w:rFonts w:ascii="Open Sans" w:eastAsia="Times New Roman" w:hAnsi="Open Sans" w:cs="Open Sans"/>
          <w:lang w:bidi="ar-SA"/>
        </w:rPr>
        <w:t>sufficient</w:t>
      </w:r>
      <w:proofErr w:type="gramEnd"/>
      <w:r w:rsidRPr="00D2402D">
        <w:rPr>
          <w:rFonts w:ascii="Open Sans" w:eastAsia="Times New Roman" w:hAnsi="Open Sans" w:cs="Open Sans"/>
          <w:lang w:bidi="ar-SA"/>
        </w:rPr>
        <w:t xml:space="preserve"> in mitigating the risk to an acceptable level, then a system of Management Controls should be implemented. Implementation of such controls should follow the Hierarchy of Controls listed below:</w:t>
      </w:r>
      <w:r w:rsidRPr="00D2402D">
        <w:rPr>
          <w:rFonts w:ascii="Open Sans" w:eastAsia="Times New Roman" w:hAnsi="Open Sans" w:cs="Open Sans"/>
          <w:lang w:bidi="ar-SA"/>
        </w:rPr>
        <w:br/>
      </w:r>
    </w:p>
    <w:p w14:paraId="5C231BE2" w14:textId="77777777" w:rsidR="00D2402D" w:rsidRPr="007062B3" w:rsidRDefault="00D2402D" w:rsidP="007062B3">
      <w:pPr>
        <w:rPr>
          <w:b/>
          <w:lang w:bidi="ar-SA"/>
        </w:rPr>
      </w:pPr>
      <w:r w:rsidRPr="007062B3">
        <w:rPr>
          <w:b/>
          <w:lang w:bidi="ar-SA"/>
        </w:rPr>
        <w:t>Elimination Substitution</w:t>
      </w:r>
      <w:r w:rsidRPr="007062B3">
        <w:rPr>
          <w:b/>
          <w:lang w:bidi="ar-SA"/>
        </w:rPr>
        <w:br/>
      </w:r>
    </w:p>
    <w:p w14:paraId="77367D4F" w14:textId="77777777" w:rsidR="007062B3" w:rsidRDefault="00D2402D" w:rsidP="00D2402D">
      <w:pPr>
        <w:widowControl/>
        <w:autoSpaceDE/>
        <w:autoSpaceDN/>
        <w:rPr>
          <w:rFonts w:ascii="Open Sans" w:eastAsia="Times New Roman" w:hAnsi="Open Sans" w:cs="Open Sans"/>
          <w:lang w:bidi="ar-SA"/>
        </w:rPr>
      </w:pPr>
      <w:r w:rsidRPr="00D2402D">
        <w:rPr>
          <w:rFonts w:ascii="Open Sans" w:eastAsia="Times New Roman" w:hAnsi="Open Sans" w:cs="Open Sans"/>
          <w:lang w:bidi="ar-SA"/>
        </w:rPr>
        <w:t>Engineering controls (either process or mechanical) Signage/warning and/or administrative controls Personal Protective / Respiratory Equipment</w:t>
      </w:r>
    </w:p>
    <w:p w14:paraId="363EBE61" w14:textId="77777777" w:rsidR="007062B3" w:rsidRDefault="007062B3">
      <w:pPr>
        <w:rPr>
          <w:rFonts w:ascii="Open Sans" w:eastAsia="Times New Roman" w:hAnsi="Open Sans" w:cs="Open Sans"/>
          <w:lang w:bidi="ar-SA"/>
        </w:rPr>
      </w:pPr>
      <w:r>
        <w:rPr>
          <w:rFonts w:ascii="Open Sans" w:eastAsia="Times New Roman" w:hAnsi="Open Sans" w:cs="Open Sans"/>
          <w:lang w:bidi="ar-SA"/>
        </w:rPr>
        <w:br w:type="page"/>
      </w:r>
    </w:p>
    <w:p w14:paraId="54EC072A" w14:textId="77777777" w:rsidR="00D2402D" w:rsidRPr="00D2402D" w:rsidRDefault="00D2402D" w:rsidP="00D2402D">
      <w:pPr>
        <w:widowControl/>
        <w:autoSpaceDE/>
        <w:autoSpaceDN/>
        <w:rPr>
          <w:rFonts w:ascii="Open Sans" w:eastAsia="Times New Roman" w:hAnsi="Open Sans" w:cs="Open Sans"/>
          <w:lang w:bidi="ar-SA"/>
        </w:rPr>
      </w:pPr>
      <w:bookmarkStart w:id="6" w:name="_Toc527028793"/>
      <w:r w:rsidRPr="00D2402D">
        <w:rPr>
          <w:rStyle w:val="Heading2Char"/>
          <w:lang w:bidi="ar-SA"/>
        </w:rPr>
        <w:lastRenderedPageBreak/>
        <w:t>When?</w:t>
      </w:r>
      <w:bookmarkEnd w:id="6"/>
      <w:r w:rsidRPr="00D2402D">
        <w:rPr>
          <w:rFonts w:ascii="Open Sans" w:eastAsia="Times New Roman" w:hAnsi="Open Sans" w:cs="Open Sans"/>
          <w:lang w:bidi="ar-SA"/>
        </w:rPr>
        <w:t> – The Risk Assessment should form part of the core planning process and be used concurrently with any logistical planning tools. Mr Taylor, Mr Barr and Mrs O’Grady are responsible for communicating the content of Risk Assessments to those at risk either by distribution of the RA or through a series of briefings, through the online Citation Portal or the staff website.</w:t>
      </w:r>
      <w:r w:rsidRPr="00D2402D">
        <w:rPr>
          <w:rFonts w:ascii="Open Sans" w:eastAsia="Times New Roman" w:hAnsi="Open Sans" w:cs="Open Sans"/>
          <w:lang w:bidi="ar-SA"/>
        </w:rPr>
        <w:br/>
      </w:r>
    </w:p>
    <w:p w14:paraId="7DDBBF61" w14:textId="193F4901" w:rsidR="00D2402D" w:rsidRPr="00D2402D" w:rsidRDefault="00C01B37" w:rsidP="00C01B37">
      <w:pPr>
        <w:pStyle w:val="Heading1"/>
        <w:rPr>
          <w:lang w:bidi="ar-SA"/>
        </w:rPr>
      </w:pPr>
      <w:bookmarkStart w:id="7" w:name="_Toc527028794"/>
      <w:r w:rsidRPr="00D2402D">
        <w:rPr>
          <w:lang w:bidi="ar-SA"/>
        </w:rPr>
        <w:t>INFORMATION AND TRAINING</w:t>
      </w:r>
      <w:bookmarkEnd w:id="7"/>
    </w:p>
    <w:p w14:paraId="7249E65E" w14:textId="77777777" w:rsidR="00D2402D" w:rsidRPr="00D2402D" w:rsidRDefault="00D2402D" w:rsidP="00D2402D">
      <w:pPr>
        <w:widowControl/>
        <w:autoSpaceDE/>
        <w:autoSpaceDN/>
        <w:rPr>
          <w:rFonts w:ascii="Open Sans" w:eastAsia="Times New Roman" w:hAnsi="Open Sans" w:cs="Open Sans"/>
          <w:lang w:bidi="ar-SA"/>
        </w:rPr>
      </w:pPr>
    </w:p>
    <w:p w14:paraId="1817A75A" w14:textId="77777777" w:rsidR="00D2402D" w:rsidRPr="00D2402D" w:rsidRDefault="00D2402D" w:rsidP="00D2402D">
      <w:pPr>
        <w:widowControl/>
        <w:autoSpaceDE/>
        <w:autoSpaceDN/>
        <w:rPr>
          <w:rFonts w:ascii="Open Sans" w:eastAsia="Times New Roman" w:hAnsi="Open Sans" w:cs="Open Sans"/>
          <w:lang w:bidi="ar-SA"/>
        </w:rPr>
      </w:pPr>
      <w:r w:rsidRPr="00D2402D">
        <w:rPr>
          <w:rFonts w:ascii="Open Sans" w:eastAsia="Times New Roman" w:hAnsi="Open Sans" w:cs="Open Sans"/>
          <w:lang w:bidi="ar-SA"/>
        </w:rPr>
        <w:t xml:space="preserve">Staff will be given training to improve their knowledge of the risk assessment procedure. Risk assessments will be </w:t>
      </w:r>
      <w:proofErr w:type="gramStart"/>
      <w:r w:rsidRPr="00D2402D">
        <w:rPr>
          <w:rFonts w:ascii="Open Sans" w:eastAsia="Times New Roman" w:hAnsi="Open Sans" w:cs="Open Sans"/>
          <w:lang w:bidi="ar-SA"/>
        </w:rPr>
        <w:t>formulated</w:t>
      </w:r>
      <w:proofErr w:type="gramEnd"/>
      <w:r w:rsidRPr="00D2402D">
        <w:rPr>
          <w:rFonts w:ascii="Open Sans" w:eastAsia="Times New Roman" w:hAnsi="Open Sans" w:cs="Open Sans"/>
          <w:lang w:bidi="ar-SA"/>
        </w:rPr>
        <w:t xml:space="preserve"> and team members will be informed and instructed on each particular risk assessment relevant to their work. Any additional detailed knowledge about how to assess risks within the working environment that they will be assessing will also be provided within their training (in order to help with the formulation of dynamic risk assessment if required).</w:t>
      </w:r>
      <w:r w:rsidRPr="00D2402D">
        <w:rPr>
          <w:rFonts w:ascii="Open Sans" w:eastAsia="Times New Roman" w:hAnsi="Open Sans" w:cs="Open Sans"/>
          <w:lang w:bidi="ar-SA"/>
        </w:rPr>
        <w:br/>
      </w:r>
    </w:p>
    <w:p w14:paraId="5E7BDD44" w14:textId="5DAB2159" w:rsidR="00D2402D" w:rsidRPr="00D2402D" w:rsidRDefault="00C01B37" w:rsidP="00C01B37">
      <w:pPr>
        <w:pStyle w:val="Heading1"/>
        <w:rPr>
          <w:lang w:bidi="ar-SA"/>
        </w:rPr>
      </w:pPr>
      <w:bookmarkStart w:id="8" w:name="_Toc527028795"/>
      <w:r w:rsidRPr="00D2402D">
        <w:rPr>
          <w:lang w:bidi="ar-SA"/>
        </w:rPr>
        <w:t>RECORD KEEPING</w:t>
      </w:r>
      <w:bookmarkEnd w:id="8"/>
      <w:r w:rsidR="00D2402D" w:rsidRPr="00D2402D">
        <w:rPr>
          <w:lang w:bidi="ar-SA"/>
        </w:rPr>
        <w:br/>
      </w:r>
    </w:p>
    <w:p w14:paraId="50E47509" w14:textId="77777777" w:rsidR="00D2402D" w:rsidRPr="00D2402D" w:rsidRDefault="00D2402D" w:rsidP="00D2402D">
      <w:pPr>
        <w:widowControl/>
        <w:autoSpaceDE/>
        <w:autoSpaceDN/>
        <w:rPr>
          <w:rFonts w:ascii="Open Sans" w:eastAsia="Times New Roman" w:hAnsi="Open Sans" w:cs="Open Sans"/>
          <w:lang w:bidi="ar-SA"/>
        </w:rPr>
      </w:pPr>
      <w:r w:rsidRPr="00D2402D">
        <w:rPr>
          <w:rFonts w:ascii="Open Sans" w:eastAsia="Times New Roman" w:hAnsi="Open Sans" w:cs="Open Sans"/>
          <w:lang w:bidi="ar-SA"/>
        </w:rPr>
        <w:t>Regulation 3(4) of MHSWR requires employers with five or more employees to keep records of all assessments that will detail the significant findings associated with the assessments.</w:t>
      </w:r>
      <w:r w:rsidRPr="00D2402D">
        <w:rPr>
          <w:rFonts w:ascii="Open Sans" w:eastAsia="Times New Roman" w:hAnsi="Open Sans" w:cs="Open Sans"/>
          <w:lang w:bidi="ar-SA"/>
        </w:rPr>
        <w:br/>
      </w:r>
    </w:p>
    <w:p w14:paraId="676AB35B" w14:textId="56437975" w:rsidR="00D2402D" w:rsidRPr="00D2402D" w:rsidRDefault="00C01B37" w:rsidP="00C01B37">
      <w:pPr>
        <w:pStyle w:val="Heading1"/>
        <w:rPr>
          <w:lang w:bidi="ar-SA"/>
        </w:rPr>
      </w:pPr>
      <w:bookmarkStart w:id="9" w:name="_Toc527028796"/>
      <w:r w:rsidRPr="00D2402D">
        <w:rPr>
          <w:lang w:bidi="ar-SA"/>
        </w:rPr>
        <w:t>REGULATORY INFORMATION</w:t>
      </w:r>
      <w:bookmarkEnd w:id="9"/>
      <w:r w:rsidR="00D2402D" w:rsidRPr="00D2402D">
        <w:rPr>
          <w:lang w:bidi="ar-SA"/>
        </w:rPr>
        <w:br/>
      </w:r>
    </w:p>
    <w:p w14:paraId="036FA924" w14:textId="77777777" w:rsidR="00D2402D" w:rsidRPr="00D2402D" w:rsidRDefault="00D2402D" w:rsidP="00D2402D">
      <w:pPr>
        <w:widowControl/>
        <w:autoSpaceDE/>
        <w:autoSpaceDN/>
        <w:rPr>
          <w:rFonts w:ascii="Open Sans" w:eastAsia="Times New Roman" w:hAnsi="Open Sans" w:cs="Open Sans"/>
          <w:lang w:bidi="ar-SA"/>
        </w:rPr>
      </w:pPr>
      <w:r w:rsidRPr="00D2402D">
        <w:rPr>
          <w:rFonts w:ascii="Open Sans" w:eastAsia="Times New Roman" w:hAnsi="Open Sans" w:cs="Open Sans"/>
          <w:lang w:bidi="ar-SA"/>
        </w:rPr>
        <w:t>The general legislative requirement for Risk Assessments is contained within the Management of Health and Safety at Work Regulations 1999 (MHSWR). Additionally, assessments of possible exposures to specific hazards at work (including vulnerable “at risk” school personnel, pupils, visitors and contractors) shall be made in line with the following legislation (responsible persons are detailed below):</w:t>
      </w:r>
      <w:r w:rsidRPr="00D2402D">
        <w:rPr>
          <w:rFonts w:ascii="Open Sans" w:eastAsia="Times New Roman" w:hAnsi="Open Sans" w:cs="Open Sans"/>
          <w:lang w:bidi="ar-SA"/>
        </w:rPr>
        <w:br/>
      </w:r>
    </w:p>
    <w:p w14:paraId="6DB87FF3" w14:textId="77777777" w:rsidR="00D2402D" w:rsidRPr="00D2402D" w:rsidRDefault="00D2402D" w:rsidP="00D2402D">
      <w:pPr>
        <w:widowControl/>
        <w:numPr>
          <w:ilvl w:val="0"/>
          <w:numId w:val="6"/>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The Control of Lead at Work Regulations 2002 </w:t>
      </w:r>
      <w:r w:rsidRPr="00D2402D">
        <w:rPr>
          <w:rFonts w:ascii="Open Sans" w:eastAsia="Times New Roman" w:hAnsi="Open Sans" w:cs="Open Sans"/>
          <w:i/>
          <w:iCs/>
          <w:lang w:bidi="ar-SA"/>
        </w:rPr>
        <w:t>(Site Manager)</w:t>
      </w:r>
    </w:p>
    <w:p w14:paraId="5A117E1E" w14:textId="77777777" w:rsidR="00D2402D" w:rsidRPr="00D2402D" w:rsidRDefault="00D2402D" w:rsidP="00D2402D">
      <w:pPr>
        <w:widowControl/>
        <w:numPr>
          <w:ilvl w:val="0"/>
          <w:numId w:val="6"/>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The Ionizing Radiations Regulations 1999 </w:t>
      </w:r>
      <w:r w:rsidRPr="00D2402D">
        <w:rPr>
          <w:rFonts w:ascii="Open Sans" w:eastAsia="Times New Roman" w:hAnsi="Open Sans" w:cs="Open Sans"/>
          <w:i/>
          <w:iCs/>
          <w:lang w:bidi="ar-SA"/>
        </w:rPr>
        <w:t>(Head of Science)</w:t>
      </w:r>
    </w:p>
    <w:p w14:paraId="6C203404" w14:textId="77777777" w:rsidR="00D2402D" w:rsidRPr="00D2402D" w:rsidRDefault="00D2402D" w:rsidP="00D2402D">
      <w:pPr>
        <w:widowControl/>
        <w:numPr>
          <w:ilvl w:val="0"/>
          <w:numId w:val="6"/>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The Control of Asbestos at Work Regulations 2012 </w:t>
      </w:r>
      <w:r w:rsidRPr="00D2402D">
        <w:rPr>
          <w:rFonts w:ascii="Open Sans" w:eastAsia="Times New Roman" w:hAnsi="Open Sans" w:cs="Open Sans"/>
          <w:i/>
          <w:iCs/>
          <w:lang w:bidi="ar-SA"/>
        </w:rPr>
        <w:t>(Site Manager)</w:t>
      </w:r>
    </w:p>
    <w:p w14:paraId="2A78659B" w14:textId="77777777" w:rsidR="00D2402D" w:rsidRPr="00D2402D" w:rsidRDefault="00D2402D" w:rsidP="00D2402D">
      <w:pPr>
        <w:widowControl/>
        <w:numPr>
          <w:ilvl w:val="0"/>
          <w:numId w:val="6"/>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The Control of Substances Hazardous to Health Regulations 2002 </w:t>
      </w:r>
      <w:r w:rsidRPr="00D2402D">
        <w:rPr>
          <w:rFonts w:ascii="Open Sans" w:eastAsia="Times New Roman" w:hAnsi="Open Sans" w:cs="Open Sans"/>
          <w:i/>
          <w:iCs/>
          <w:lang w:bidi="ar-SA"/>
        </w:rPr>
        <w:t>(Department Heads)</w:t>
      </w:r>
    </w:p>
    <w:p w14:paraId="67DEB15D" w14:textId="77777777" w:rsidR="00D2402D" w:rsidRPr="00D2402D" w:rsidRDefault="00D2402D" w:rsidP="00D2402D">
      <w:pPr>
        <w:widowControl/>
        <w:numPr>
          <w:ilvl w:val="0"/>
          <w:numId w:val="6"/>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The Control of Noise at Work Regulations 2005 (Gardener/Site Manager)</w:t>
      </w:r>
    </w:p>
    <w:p w14:paraId="6547369E" w14:textId="77777777" w:rsidR="00D2402D" w:rsidRPr="00D2402D" w:rsidRDefault="00D2402D" w:rsidP="00D2402D">
      <w:pPr>
        <w:widowControl/>
        <w:numPr>
          <w:ilvl w:val="0"/>
          <w:numId w:val="6"/>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The Health and Safety (Young Persons) Regulations 1997(Bursar)</w:t>
      </w:r>
    </w:p>
    <w:p w14:paraId="78073292" w14:textId="77777777" w:rsidR="00D2402D" w:rsidRPr="00D2402D" w:rsidRDefault="00D2402D" w:rsidP="00D2402D">
      <w:pPr>
        <w:widowControl/>
        <w:numPr>
          <w:ilvl w:val="0"/>
          <w:numId w:val="6"/>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Disability Discrimination Act 1995 (as amended 2005) (Bursar)</w:t>
      </w:r>
    </w:p>
    <w:p w14:paraId="472C0FD0" w14:textId="77777777" w:rsidR="00D2402D" w:rsidRPr="00D2402D" w:rsidRDefault="00D2402D" w:rsidP="00D2402D">
      <w:pPr>
        <w:widowControl/>
        <w:numPr>
          <w:ilvl w:val="0"/>
          <w:numId w:val="6"/>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Regulatory Reform (Fire Safety) Order 2005 (Bursar)</w:t>
      </w:r>
    </w:p>
    <w:p w14:paraId="00677350" w14:textId="77777777" w:rsidR="00D2402D" w:rsidRPr="00D2402D" w:rsidRDefault="00D2402D" w:rsidP="00D2402D">
      <w:pPr>
        <w:widowControl/>
        <w:autoSpaceDE/>
        <w:autoSpaceDN/>
        <w:rPr>
          <w:rFonts w:ascii="Open Sans" w:eastAsia="Times New Roman" w:hAnsi="Open Sans" w:cs="Open Sans"/>
          <w:lang w:bidi="ar-SA"/>
        </w:rPr>
      </w:pPr>
      <w:r w:rsidRPr="00D2402D">
        <w:rPr>
          <w:rFonts w:ascii="Open Sans" w:eastAsia="Times New Roman" w:hAnsi="Open Sans" w:cs="Open Sans"/>
          <w:lang w:bidi="ar-SA"/>
        </w:rPr>
        <w:t>Further to the legislation detailed above the following areas of regulatory control should also be considered when developing Risk Assessments.</w:t>
      </w:r>
      <w:r w:rsidRPr="00D2402D">
        <w:rPr>
          <w:rFonts w:ascii="Open Sans" w:eastAsia="Times New Roman" w:hAnsi="Open Sans" w:cs="Open Sans"/>
          <w:lang w:bidi="ar-SA"/>
        </w:rPr>
        <w:br/>
      </w:r>
    </w:p>
    <w:p w14:paraId="1BBF61E3" w14:textId="77777777" w:rsidR="00D2402D" w:rsidRPr="00D2402D" w:rsidRDefault="00D2402D" w:rsidP="00D2402D">
      <w:pPr>
        <w:widowControl/>
        <w:numPr>
          <w:ilvl w:val="0"/>
          <w:numId w:val="7"/>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Manual Handling Operations Regulations. The Health and Safety (Display Screen Equipment) Regulations covering risk assessment of musculoskeletal injury, visual problems and mental stress from the use of display screen equipment.</w:t>
      </w:r>
    </w:p>
    <w:p w14:paraId="181B002F" w14:textId="77777777" w:rsidR="00D2402D" w:rsidRPr="00D2402D" w:rsidRDefault="00D2402D" w:rsidP="00D2402D">
      <w:pPr>
        <w:widowControl/>
        <w:numPr>
          <w:ilvl w:val="0"/>
          <w:numId w:val="7"/>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Personal Protective Equipment at Work Regulations requires the assessment of personal protective equipment for its suitability, both for the hazard and the user.</w:t>
      </w:r>
    </w:p>
    <w:p w14:paraId="5EE2CE35" w14:textId="77777777" w:rsidR="00D2402D" w:rsidRPr="00D2402D" w:rsidRDefault="00D2402D" w:rsidP="00D2402D">
      <w:pPr>
        <w:widowControl/>
        <w:numPr>
          <w:ilvl w:val="0"/>
          <w:numId w:val="7"/>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lastRenderedPageBreak/>
        <w:t>Health and Safety (First Aid) Regulations require an evaluation of first aid requirements and are detailed for the School in its First Aid Policy (SOP 15).</w:t>
      </w:r>
    </w:p>
    <w:p w14:paraId="3E0DBDDE" w14:textId="77777777" w:rsidR="00D2402D" w:rsidRPr="00D2402D" w:rsidRDefault="00D2402D" w:rsidP="00D2402D">
      <w:pPr>
        <w:widowControl/>
        <w:numPr>
          <w:ilvl w:val="0"/>
          <w:numId w:val="7"/>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 xml:space="preserve">Work in Confined Spaces (MHSWR 99, regulation 3); one must carry out a suitable and </w:t>
      </w:r>
      <w:proofErr w:type="gramStart"/>
      <w:r w:rsidRPr="00D2402D">
        <w:rPr>
          <w:rFonts w:ascii="Open Sans" w:eastAsia="Times New Roman" w:hAnsi="Open Sans" w:cs="Open Sans"/>
          <w:lang w:bidi="ar-SA"/>
        </w:rPr>
        <w:t>sufficient</w:t>
      </w:r>
      <w:proofErr w:type="gramEnd"/>
      <w:r w:rsidRPr="00D2402D">
        <w:rPr>
          <w:rFonts w:ascii="Open Sans" w:eastAsia="Times New Roman" w:hAnsi="Open Sans" w:cs="Open Sans"/>
          <w:lang w:bidi="ar-SA"/>
        </w:rPr>
        <w:t xml:space="preserve"> assessment of the risks for all work activities in deciding what measures are necessary for safety (The Management of Health and Safety at Work Regulations 1999, regulation 3).</w:t>
      </w:r>
    </w:p>
    <w:p w14:paraId="3039B5BB" w14:textId="77777777" w:rsidR="00D2402D" w:rsidRPr="00D2402D" w:rsidRDefault="00D2402D" w:rsidP="00D2402D">
      <w:pPr>
        <w:widowControl/>
        <w:autoSpaceDE/>
        <w:autoSpaceDN/>
        <w:rPr>
          <w:rFonts w:ascii="Open Sans" w:eastAsia="Times New Roman" w:hAnsi="Open Sans" w:cs="Open Sans"/>
          <w:lang w:bidi="ar-SA"/>
        </w:rPr>
      </w:pPr>
    </w:p>
    <w:p w14:paraId="30FD96BC" w14:textId="6E0ADBF4" w:rsidR="00D2402D" w:rsidRPr="00D2402D" w:rsidRDefault="007062B3" w:rsidP="00C01B37">
      <w:pPr>
        <w:pStyle w:val="Heading1"/>
        <w:rPr>
          <w:lang w:bidi="ar-SA"/>
        </w:rPr>
      </w:pPr>
      <w:bookmarkStart w:id="10" w:name="_Toc527028797"/>
      <w:r w:rsidRPr="00D2402D">
        <w:rPr>
          <w:lang w:bidi="ar-SA"/>
        </w:rPr>
        <w:t>POLICY REVIEW</w:t>
      </w:r>
      <w:bookmarkEnd w:id="10"/>
      <w:r w:rsidR="00D2402D" w:rsidRPr="00D2402D">
        <w:rPr>
          <w:lang w:bidi="ar-SA"/>
        </w:rPr>
        <w:br/>
      </w:r>
    </w:p>
    <w:p w14:paraId="0B8C6EEF" w14:textId="77777777" w:rsidR="00D2402D" w:rsidRPr="00D2402D" w:rsidRDefault="00D2402D" w:rsidP="00D2402D">
      <w:pPr>
        <w:widowControl/>
        <w:autoSpaceDE/>
        <w:autoSpaceDN/>
        <w:rPr>
          <w:rFonts w:ascii="Open Sans" w:eastAsia="Times New Roman" w:hAnsi="Open Sans" w:cs="Open Sans"/>
          <w:lang w:bidi="ar-SA"/>
        </w:rPr>
      </w:pPr>
      <w:r w:rsidRPr="00D2402D">
        <w:rPr>
          <w:rFonts w:ascii="Open Sans" w:eastAsia="Times New Roman" w:hAnsi="Open Sans" w:cs="Open Sans"/>
          <w:b/>
          <w:bCs/>
          <w:lang w:bidi="ar-SA"/>
        </w:rPr>
        <w:t>Tower College reviews its risk assessments and risk management practices every 3 years, or:</w:t>
      </w:r>
      <w:r w:rsidRPr="00D2402D">
        <w:rPr>
          <w:rFonts w:ascii="Open Sans" w:eastAsia="Times New Roman" w:hAnsi="Open Sans" w:cs="Open Sans"/>
          <w:b/>
          <w:bCs/>
          <w:lang w:bidi="ar-SA"/>
        </w:rPr>
        <w:br/>
      </w:r>
    </w:p>
    <w:p w14:paraId="258888FD" w14:textId="77777777" w:rsidR="00D2402D" w:rsidRPr="00D2402D" w:rsidRDefault="00D2402D" w:rsidP="00D2402D">
      <w:pPr>
        <w:widowControl/>
        <w:numPr>
          <w:ilvl w:val="0"/>
          <w:numId w:val="8"/>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Whenever there to any significant changes to workplace processes or design.</w:t>
      </w:r>
    </w:p>
    <w:p w14:paraId="01FC144D" w14:textId="77777777" w:rsidR="00D2402D" w:rsidRPr="00D2402D" w:rsidRDefault="00D2402D" w:rsidP="00D2402D">
      <w:pPr>
        <w:widowControl/>
        <w:numPr>
          <w:ilvl w:val="0"/>
          <w:numId w:val="8"/>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Whenever new machinery, substances or procedures are introduced.</w:t>
      </w:r>
    </w:p>
    <w:p w14:paraId="3EA37EE7" w14:textId="77777777" w:rsidR="00D2402D" w:rsidRPr="00D2402D" w:rsidRDefault="00D2402D" w:rsidP="00D2402D">
      <w:pPr>
        <w:widowControl/>
        <w:numPr>
          <w:ilvl w:val="0"/>
          <w:numId w:val="8"/>
        </w:numPr>
        <w:autoSpaceDE/>
        <w:autoSpaceDN/>
        <w:spacing w:before="72" w:after="100" w:afterAutospacing="1"/>
        <w:ind w:left="0"/>
        <w:rPr>
          <w:rFonts w:ascii="Open Sans" w:eastAsia="Times New Roman" w:hAnsi="Open Sans" w:cs="Open Sans"/>
          <w:lang w:bidi="ar-SA"/>
        </w:rPr>
      </w:pPr>
      <w:r w:rsidRPr="00D2402D">
        <w:rPr>
          <w:rFonts w:ascii="Open Sans" w:eastAsia="Times New Roman" w:hAnsi="Open Sans" w:cs="Open Sans"/>
          <w:lang w:bidi="ar-SA"/>
        </w:rPr>
        <w:t>Whenever there is an injury or incident as a result of hazard exposure.</w:t>
      </w:r>
    </w:p>
    <w:p w14:paraId="21482EDA" w14:textId="77777777" w:rsidR="00D2402D" w:rsidRPr="00D2402D" w:rsidRDefault="00D2402D" w:rsidP="00D2402D">
      <w:pPr>
        <w:widowControl/>
        <w:pBdr>
          <w:bottom w:val="single" w:sz="6" w:space="1" w:color="auto"/>
        </w:pBdr>
        <w:autoSpaceDE/>
        <w:autoSpaceDN/>
        <w:jc w:val="center"/>
        <w:rPr>
          <w:rFonts w:ascii="Open Sans" w:eastAsia="Times New Roman" w:hAnsi="Open Sans" w:cs="Open Sans"/>
          <w:vanish/>
          <w:lang w:bidi="ar-SA"/>
        </w:rPr>
      </w:pPr>
      <w:r w:rsidRPr="00D2402D">
        <w:rPr>
          <w:rFonts w:ascii="Open Sans" w:eastAsia="Times New Roman" w:hAnsi="Open Sans" w:cs="Open Sans"/>
          <w:vanish/>
          <w:lang w:bidi="ar-SA"/>
        </w:rPr>
        <w:t>Top of Form</w:t>
      </w:r>
    </w:p>
    <w:p w14:paraId="75996C3F" w14:textId="77777777" w:rsidR="00D2402D" w:rsidRPr="00D2402D" w:rsidRDefault="00D2402D" w:rsidP="00D2402D">
      <w:pPr>
        <w:widowControl/>
        <w:pBdr>
          <w:top w:val="single" w:sz="6" w:space="1" w:color="auto"/>
        </w:pBdr>
        <w:autoSpaceDE/>
        <w:autoSpaceDN/>
        <w:jc w:val="center"/>
        <w:rPr>
          <w:rFonts w:ascii="Open Sans" w:eastAsia="Times New Roman" w:hAnsi="Open Sans" w:cs="Open Sans"/>
          <w:vanish/>
          <w:lang w:bidi="ar-SA"/>
        </w:rPr>
      </w:pPr>
      <w:r w:rsidRPr="00D2402D">
        <w:rPr>
          <w:rFonts w:ascii="Open Sans" w:eastAsia="Times New Roman" w:hAnsi="Open Sans" w:cs="Open Sans"/>
          <w:vanish/>
          <w:lang w:bidi="ar-SA"/>
        </w:rPr>
        <w:t>Bottom of Form</w:t>
      </w:r>
    </w:p>
    <w:p w14:paraId="16922CD6" w14:textId="204333B8" w:rsidR="00335D99" w:rsidRPr="0074282F" w:rsidRDefault="00335D99" w:rsidP="00D2402D">
      <w:pPr>
        <w:tabs>
          <w:tab w:val="left" w:pos="1804"/>
          <w:tab w:val="left" w:pos="1805"/>
        </w:tabs>
        <w:spacing w:before="251" w:line="276" w:lineRule="auto"/>
        <w:ind w:right="222"/>
        <w:rPr>
          <w:rFonts w:ascii="Open Sans" w:hAnsi="Open Sans" w:cs="Open Sans"/>
        </w:rPr>
      </w:pPr>
    </w:p>
    <w:sectPr w:rsidR="00335D99" w:rsidRPr="0074282F" w:rsidSect="00201FD2">
      <w:pgSz w:w="11910" w:h="16840"/>
      <w:pgMar w:top="136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955DB" w14:textId="77777777" w:rsidR="003E0C81" w:rsidRDefault="003E0C81" w:rsidP="00E373EE">
      <w:r>
        <w:separator/>
      </w:r>
    </w:p>
  </w:endnote>
  <w:endnote w:type="continuationSeparator" w:id="0">
    <w:p w14:paraId="42A017E4" w14:textId="77777777" w:rsidR="003E0C81" w:rsidRDefault="003E0C81" w:rsidP="00E3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112327"/>
      <w:docPartObj>
        <w:docPartGallery w:val="Page Numbers (Bottom of Page)"/>
        <w:docPartUnique/>
      </w:docPartObj>
    </w:sdtPr>
    <w:sdtEndPr>
      <w:rPr>
        <w:noProof/>
      </w:rPr>
    </w:sdtEndPr>
    <w:sdtContent>
      <w:p w14:paraId="5C7CD198" w14:textId="752DBBDE" w:rsidR="0074282F" w:rsidRDefault="007428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C12990" w14:textId="77777777" w:rsidR="0074282F" w:rsidRDefault="00742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FAD61" w14:textId="77777777" w:rsidR="003E0C81" w:rsidRDefault="003E0C81" w:rsidP="00E373EE">
      <w:r>
        <w:separator/>
      </w:r>
    </w:p>
  </w:footnote>
  <w:footnote w:type="continuationSeparator" w:id="0">
    <w:p w14:paraId="01AC6B48" w14:textId="77777777" w:rsidR="003E0C81" w:rsidRDefault="003E0C81" w:rsidP="00E37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2382E"/>
    <w:multiLevelType w:val="multilevel"/>
    <w:tmpl w:val="199C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94A44"/>
    <w:multiLevelType w:val="hybridMultilevel"/>
    <w:tmpl w:val="C42ED2AC"/>
    <w:lvl w:ilvl="0" w:tplc="C41C0AC2">
      <w:numFmt w:val="bullet"/>
      <w:lvlText w:val=""/>
      <w:lvlJc w:val="left"/>
      <w:pPr>
        <w:ind w:left="1092" w:hanging="360"/>
      </w:pPr>
      <w:rPr>
        <w:rFonts w:ascii="Symbol" w:eastAsia="Symbol" w:hAnsi="Symbol" w:cs="Symbol" w:hint="default"/>
        <w:w w:val="100"/>
        <w:sz w:val="22"/>
        <w:szCs w:val="22"/>
        <w:lang w:val="en-GB" w:eastAsia="en-GB" w:bidi="en-GB"/>
      </w:rPr>
    </w:lvl>
    <w:lvl w:ilvl="1" w:tplc="F8D21462">
      <w:numFmt w:val="bullet"/>
      <w:lvlText w:val="•"/>
      <w:lvlJc w:val="left"/>
      <w:pPr>
        <w:ind w:left="1952" w:hanging="360"/>
      </w:pPr>
      <w:rPr>
        <w:rFonts w:hint="default"/>
        <w:lang w:val="en-GB" w:eastAsia="en-GB" w:bidi="en-GB"/>
      </w:rPr>
    </w:lvl>
    <w:lvl w:ilvl="2" w:tplc="62C48CC2">
      <w:numFmt w:val="bullet"/>
      <w:lvlText w:val="•"/>
      <w:lvlJc w:val="left"/>
      <w:pPr>
        <w:ind w:left="2805" w:hanging="360"/>
      </w:pPr>
      <w:rPr>
        <w:rFonts w:hint="default"/>
        <w:lang w:val="en-GB" w:eastAsia="en-GB" w:bidi="en-GB"/>
      </w:rPr>
    </w:lvl>
    <w:lvl w:ilvl="3" w:tplc="6514076C">
      <w:numFmt w:val="bullet"/>
      <w:lvlText w:val="•"/>
      <w:lvlJc w:val="left"/>
      <w:pPr>
        <w:ind w:left="3658" w:hanging="360"/>
      </w:pPr>
      <w:rPr>
        <w:rFonts w:hint="default"/>
        <w:lang w:val="en-GB" w:eastAsia="en-GB" w:bidi="en-GB"/>
      </w:rPr>
    </w:lvl>
    <w:lvl w:ilvl="4" w:tplc="2DDA80B4">
      <w:numFmt w:val="bullet"/>
      <w:lvlText w:val="•"/>
      <w:lvlJc w:val="left"/>
      <w:pPr>
        <w:ind w:left="4511" w:hanging="360"/>
      </w:pPr>
      <w:rPr>
        <w:rFonts w:hint="default"/>
        <w:lang w:val="en-GB" w:eastAsia="en-GB" w:bidi="en-GB"/>
      </w:rPr>
    </w:lvl>
    <w:lvl w:ilvl="5" w:tplc="FF6A1D0C">
      <w:numFmt w:val="bullet"/>
      <w:lvlText w:val="•"/>
      <w:lvlJc w:val="left"/>
      <w:pPr>
        <w:ind w:left="5364" w:hanging="360"/>
      </w:pPr>
      <w:rPr>
        <w:rFonts w:hint="default"/>
        <w:lang w:val="en-GB" w:eastAsia="en-GB" w:bidi="en-GB"/>
      </w:rPr>
    </w:lvl>
    <w:lvl w:ilvl="6" w:tplc="C422FD24">
      <w:numFmt w:val="bullet"/>
      <w:lvlText w:val="•"/>
      <w:lvlJc w:val="left"/>
      <w:pPr>
        <w:ind w:left="6216" w:hanging="360"/>
      </w:pPr>
      <w:rPr>
        <w:rFonts w:hint="default"/>
        <w:lang w:val="en-GB" w:eastAsia="en-GB" w:bidi="en-GB"/>
      </w:rPr>
    </w:lvl>
    <w:lvl w:ilvl="7" w:tplc="F5EE6006">
      <w:numFmt w:val="bullet"/>
      <w:lvlText w:val="•"/>
      <w:lvlJc w:val="left"/>
      <w:pPr>
        <w:ind w:left="7069" w:hanging="360"/>
      </w:pPr>
      <w:rPr>
        <w:rFonts w:hint="default"/>
        <w:lang w:val="en-GB" w:eastAsia="en-GB" w:bidi="en-GB"/>
      </w:rPr>
    </w:lvl>
    <w:lvl w:ilvl="8" w:tplc="4B08C71A">
      <w:numFmt w:val="bullet"/>
      <w:lvlText w:val="•"/>
      <w:lvlJc w:val="left"/>
      <w:pPr>
        <w:ind w:left="7922" w:hanging="360"/>
      </w:pPr>
      <w:rPr>
        <w:rFonts w:hint="default"/>
        <w:lang w:val="en-GB" w:eastAsia="en-GB" w:bidi="en-GB"/>
      </w:rPr>
    </w:lvl>
  </w:abstractNum>
  <w:abstractNum w:abstractNumId="2" w15:restartNumberingAfterBreak="0">
    <w:nsid w:val="3A447DD3"/>
    <w:multiLevelType w:val="multilevel"/>
    <w:tmpl w:val="AE7E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7A622B"/>
    <w:multiLevelType w:val="multilevel"/>
    <w:tmpl w:val="E1200250"/>
    <w:lvl w:ilvl="0">
      <w:start w:val="1"/>
      <w:numFmt w:val="decimal"/>
      <w:lvlText w:val="%1."/>
      <w:lvlJc w:val="left"/>
      <w:pPr>
        <w:ind w:left="1024" w:hanging="361"/>
        <w:jc w:val="left"/>
      </w:pPr>
      <w:rPr>
        <w:rFonts w:ascii="Arial" w:eastAsia="Arial" w:hAnsi="Arial" w:cs="Arial" w:hint="default"/>
        <w:b/>
        <w:bCs/>
        <w:spacing w:val="-30"/>
        <w:w w:val="99"/>
        <w:sz w:val="28"/>
        <w:szCs w:val="28"/>
        <w:lang w:val="en-GB" w:eastAsia="en-GB" w:bidi="en-GB"/>
      </w:rPr>
    </w:lvl>
    <w:lvl w:ilvl="1">
      <w:start w:val="1"/>
      <w:numFmt w:val="decimal"/>
      <w:lvlText w:val="%1.%2."/>
      <w:lvlJc w:val="left"/>
      <w:pPr>
        <w:ind w:left="1797" w:hanging="613"/>
        <w:jc w:val="left"/>
      </w:pPr>
      <w:rPr>
        <w:rFonts w:ascii="Arial" w:eastAsia="Arial" w:hAnsi="Arial" w:cs="Arial" w:hint="default"/>
        <w:spacing w:val="-2"/>
        <w:w w:val="99"/>
        <w:sz w:val="22"/>
        <w:szCs w:val="22"/>
        <w:lang w:val="en-GB" w:eastAsia="en-GB" w:bidi="en-GB"/>
      </w:rPr>
    </w:lvl>
    <w:lvl w:ilvl="2">
      <w:numFmt w:val="bullet"/>
      <w:lvlText w:val=""/>
      <w:lvlJc w:val="left"/>
      <w:pPr>
        <w:ind w:left="2305" w:hanging="360"/>
      </w:pPr>
      <w:rPr>
        <w:rFonts w:ascii="Symbol" w:eastAsia="Symbol" w:hAnsi="Symbol" w:cs="Symbol" w:hint="default"/>
        <w:w w:val="100"/>
        <w:sz w:val="22"/>
        <w:szCs w:val="22"/>
        <w:lang w:val="en-GB" w:eastAsia="en-GB" w:bidi="en-GB"/>
      </w:rPr>
    </w:lvl>
    <w:lvl w:ilvl="3">
      <w:numFmt w:val="bullet"/>
      <w:lvlText w:val="•"/>
      <w:lvlJc w:val="left"/>
      <w:pPr>
        <w:ind w:left="2300" w:hanging="360"/>
      </w:pPr>
      <w:rPr>
        <w:rFonts w:hint="default"/>
        <w:lang w:val="en-GB" w:eastAsia="en-GB" w:bidi="en-GB"/>
      </w:rPr>
    </w:lvl>
    <w:lvl w:ilvl="4">
      <w:numFmt w:val="bullet"/>
      <w:lvlText w:val="•"/>
      <w:lvlJc w:val="left"/>
      <w:pPr>
        <w:ind w:left="2580" w:hanging="360"/>
      </w:pPr>
      <w:rPr>
        <w:rFonts w:hint="default"/>
        <w:lang w:val="en-GB" w:eastAsia="en-GB" w:bidi="en-GB"/>
      </w:rPr>
    </w:lvl>
    <w:lvl w:ilvl="5">
      <w:numFmt w:val="bullet"/>
      <w:lvlText w:val="•"/>
      <w:lvlJc w:val="left"/>
      <w:pPr>
        <w:ind w:left="3754" w:hanging="360"/>
      </w:pPr>
      <w:rPr>
        <w:rFonts w:hint="default"/>
        <w:lang w:val="en-GB" w:eastAsia="en-GB" w:bidi="en-GB"/>
      </w:rPr>
    </w:lvl>
    <w:lvl w:ilvl="6">
      <w:numFmt w:val="bullet"/>
      <w:lvlText w:val="•"/>
      <w:lvlJc w:val="left"/>
      <w:pPr>
        <w:ind w:left="4929" w:hanging="360"/>
      </w:pPr>
      <w:rPr>
        <w:rFonts w:hint="default"/>
        <w:lang w:val="en-GB" w:eastAsia="en-GB" w:bidi="en-GB"/>
      </w:rPr>
    </w:lvl>
    <w:lvl w:ilvl="7">
      <w:numFmt w:val="bullet"/>
      <w:lvlText w:val="•"/>
      <w:lvlJc w:val="left"/>
      <w:pPr>
        <w:ind w:left="6104" w:hanging="360"/>
      </w:pPr>
      <w:rPr>
        <w:rFonts w:hint="default"/>
        <w:lang w:val="en-GB" w:eastAsia="en-GB" w:bidi="en-GB"/>
      </w:rPr>
    </w:lvl>
    <w:lvl w:ilvl="8">
      <w:numFmt w:val="bullet"/>
      <w:lvlText w:val="•"/>
      <w:lvlJc w:val="left"/>
      <w:pPr>
        <w:ind w:left="7278" w:hanging="360"/>
      </w:pPr>
      <w:rPr>
        <w:rFonts w:hint="default"/>
        <w:lang w:val="en-GB" w:eastAsia="en-GB" w:bidi="en-GB"/>
      </w:rPr>
    </w:lvl>
  </w:abstractNum>
  <w:abstractNum w:abstractNumId="4" w15:restartNumberingAfterBreak="0">
    <w:nsid w:val="52DF7946"/>
    <w:multiLevelType w:val="multilevel"/>
    <w:tmpl w:val="7C82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D0154F"/>
    <w:multiLevelType w:val="hybridMultilevel"/>
    <w:tmpl w:val="7012FA30"/>
    <w:lvl w:ilvl="0" w:tplc="C3180E9C">
      <w:start w:val="1"/>
      <w:numFmt w:val="decimal"/>
      <w:lvlText w:val="%1."/>
      <w:lvlJc w:val="left"/>
      <w:pPr>
        <w:ind w:left="1457" w:hanging="361"/>
        <w:jc w:val="left"/>
      </w:pPr>
      <w:rPr>
        <w:rFonts w:ascii="Arial" w:eastAsia="Arial" w:hAnsi="Arial" w:cs="Arial" w:hint="default"/>
        <w:spacing w:val="-8"/>
        <w:w w:val="99"/>
        <w:sz w:val="22"/>
        <w:szCs w:val="22"/>
        <w:lang w:val="en-GB" w:eastAsia="en-GB" w:bidi="en-GB"/>
      </w:rPr>
    </w:lvl>
    <w:lvl w:ilvl="1" w:tplc="CBF056A8">
      <w:numFmt w:val="bullet"/>
      <w:lvlText w:val="•"/>
      <w:lvlJc w:val="left"/>
      <w:pPr>
        <w:ind w:left="2276" w:hanging="361"/>
      </w:pPr>
      <w:rPr>
        <w:rFonts w:hint="default"/>
        <w:lang w:val="en-GB" w:eastAsia="en-GB" w:bidi="en-GB"/>
      </w:rPr>
    </w:lvl>
    <w:lvl w:ilvl="2" w:tplc="F57E7BC0">
      <w:numFmt w:val="bullet"/>
      <w:lvlText w:val="•"/>
      <w:lvlJc w:val="left"/>
      <w:pPr>
        <w:ind w:left="3093" w:hanging="361"/>
      </w:pPr>
      <w:rPr>
        <w:rFonts w:hint="default"/>
        <w:lang w:val="en-GB" w:eastAsia="en-GB" w:bidi="en-GB"/>
      </w:rPr>
    </w:lvl>
    <w:lvl w:ilvl="3" w:tplc="E1CA7FDE">
      <w:numFmt w:val="bullet"/>
      <w:lvlText w:val="•"/>
      <w:lvlJc w:val="left"/>
      <w:pPr>
        <w:ind w:left="3910" w:hanging="361"/>
      </w:pPr>
      <w:rPr>
        <w:rFonts w:hint="default"/>
        <w:lang w:val="en-GB" w:eastAsia="en-GB" w:bidi="en-GB"/>
      </w:rPr>
    </w:lvl>
    <w:lvl w:ilvl="4" w:tplc="EEE8CFBC">
      <w:numFmt w:val="bullet"/>
      <w:lvlText w:val="•"/>
      <w:lvlJc w:val="left"/>
      <w:pPr>
        <w:ind w:left="4727" w:hanging="361"/>
      </w:pPr>
      <w:rPr>
        <w:rFonts w:hint="default"/>
        <w:lang w:val="en-GB" w:eastAsia="en-GB" w:bidi="en-GB"/>
      </w:rPr>
    </w:lvl>
    <w:lvl w:ilvl="5" w:tplc="D4F41A36">
      <w:numFmt w:val="bullet"/>
      <w:lvlText w:val="•"/>
      <w:lvlJc w:val="left"/>
      <w:pPr>
        <w:ind w:left="5544" w:hanging="361"/>
      </w:pPr>
      <w:rPr>
        <w:rFonts w:hint="default"/>
        <w:lang w:val="en-GB" w:eastAsia="en-GB" w:bidi="en-GB"/>
      </w:rPr>
    </w:lvl>
    <w:lvl w:ilvl="6" w:tplc="DAD0F7B0">
      <w:numFmt w:val="bullet"/>
      <w:lvlText w:val="•"/>
      <w:lvlJc w:val="left"/>
      <w:pPr>
        <w:ind w:left="6360" w:hanging="361"/>
      </w:pPr>
      <w:rPr>
        <w:rFonts w:hint="default"/>
        <w:lang w:val="en-GB" w:eastAsia="en-GB" w:bidi="en-GB"/>
      </w:rPr>
    </w:lvl>
    <w:lvl w:ilvl="7" w:tplc="DFCC336A">
      <w:numFmt w:val="bullet"/>
      <w:lvlText w:val="•"/>
      <w:lvlJc w:val="left"/>
      <w:pPr>
        <w:ind w:left="7177" w:hanging="361"/>
      </w:pPr>
      <w:rPr>
        <w:rFonts w:hint="default"/>
        <w:lang w:val="en-GB" w:eastAsia="en-GB" w:bidi="en-GB"/>
      </w:rPr>
    </w:lvl>
    <w:lvl w:ilvl="8" w:tplc="F8546E12">
      <w:numFmt w:val="bullet"/>
      <w:lvlText w:val="•"/>
      <w:lvlJc w:val="left"/>
      <w:pPr>
        <w:ind w:left="7994" w:hanging="361"/>
      </w:pPr>
      <w:rPr>
        <w:rFonts w:hint="default"/>
        <w:lang w:val="en-GB" w:eastAsia="en-GB" w:bidi="en-GB"/>
      </w:rPr>
    </w:lvl>
  </w:abstractNum>
  <w:abstractNum w:abstractNumId="6" w15:restartNumberingAfterBreak="0">
    <w:nsid w:val="74AB2579"/>
    <w:multiLevelType w:val="multilevel"/>
    <w:tmpl w:val="927E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6A13D1"/>
    <w:multiLevelType w:val="multilevel"/>
    <w:tmpl w:val="D25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35D99"/>
    <w:rsid w:val="000A1438"/>
    <w:rsid w:val="000F2279"/>
    <w:rsid w:val="00201FD2"/>
    <w:rsid w:val="00335D99"/>
    <w:rsid w:val="003912A8"/>
    <w:rsid w:val="003A536D"/>
    <w:rsid w:val="003E0C81"/>
    <w:rsid w:val="00456A26"/>
    <w:rsid w:val="004F15BD"/>
    <w:rsid w:val="005548D2"/>
    <w:rsid w:val="006C2869"/>
    <w:rsid w:val="006E053E"/>
    <w:rsid w:val="00702A5C"/>
    <w:rsid w:val="007062B3"/>
    <w:rsid w:val="00717530"/>
    <w:rsid w:val="0074282F"/>
    <w:rsid w:val="007A6015"/>
    <w:rsid w:val="00A65089"/>
    <w:rsid w:val="00BC216A"/>
    <w:rsid w:val="00C01B37"/>
    <w:rsid w:val="00D135E8"/>
    <w:rsid w:val="00D2402D"/>
    <w:rsid w:val="00D47000"/>
    <w:rsid w:val="00D8726B"/>
    <w:rsid w:val="00E3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7DFD"/>
  <w15:docId w15:val="{FEECF061-008C-4E50-9FE7-C5937E98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autoRedefine/>
    <w:uiPriority w:val="9"/>
    <w:qFormat/>
    <w:rsid w:val="0074282F"/>
    <w:pPr>
      <w:ind w:left="357" w:hanging="357"/>
      <w:outlineLvl w:val="0"/>
    </w:pPr>
    <w:rPr>
      <w:rFonts w:ascii="Open Sans" w:hAnsi="Open Sans"/>
      <w:b/>
      <w:bCs/>
      <w:szCs w:val="28"/>
    </w:rPr>
  </w:style>
  <w:style w:type="paragraph" w:styleId="Heading2">
    <w:name w:val="heading 2"/>
    <w:basedOn w:val="Normal"/>
    <w:next w:val="Normal"/>
    <w:link w:val="Heading2Char"/>
    <w:autoRedefine/>
    <w:uiPriority w:val="9"/>
    <w:unhideWhenUsed/>
    <w:qFormat/>
    <w:rsid w:val="0074282F"/>
    <w:pPr>
      <w:keepNext/>
      <w:keepLines/>
      <w:spacing w:before="40"/>
      <w:outlineLvl w:val="1"/>
    </w:pPr>
    <w:rPr>
      <w:rFonts w:ascii="Open Sans" w:eastAsiaTheme="majorEastAsia" w:hAnsi="Open Sans"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0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3EE"/>
    <w:pPr>
      <w:tabs>
        <w:tab w:val="center" w:pos="4680"/>
        <w:tab w:val="right" w:pos="9360"/>
      </w:tabs>
    </w:pPr>
  </w:style>
  <w:style w:type="character" w:customStyle="1" w:styleId="HeaderChar">
    <w:name w:val="Header Char"/>
    <w:basedOn w:val="DefaultParagraphFont"/>
    <w:link w:val="Header"/>
    <w:uiPriority w:val="99"/>
    <w:rsid w:val="00E373EE"/>
    <w:rPr>
      <w:rFonts w:ascii="Arial" w:eastAsia="Arial" w:hAnsi="Arial" w:cs="Arial"/>
      <w:lang w:val="en-GB" w:eastAsia="en-GB" w:bidi="en-GB"/>
    </w:rPr>
  </w:style>
  <w:style w:type="paragraph" w:styleId="Footer">
    <w:name w:val="footer"/>
    <w:basedOn w:val="Normal"/>
    <w:link w:val="FooterChar"/>
    <w:uiPriority w:val="99"/>
    <w:unhideWhenUsed/>
    <w:rsid w:val="00E373EE"/>
    <w:pPr>
      <w:tabs>
        <w:tab w:val="center" w:pos="4680"/>
        <w:tab w:val="right" w:pos="9360"/>
      </w:tabs>
    </w:pPr>
  </w:style>
  <w:style w:type="character" w:customStyle="1" w:styleId="FooterChar">
    <w:name w:val="Footer Char"/>
    <w:basedOn w:val="DefaultParagraphFont"/>
    <w:link w:val="Footer"/>
    <w:uiPriority w:val="99"/>
    <w:rsid w:val="00E373EE"/>
    <w:rPr>
      <w:rFonts w:ascii="Arial" w:eastAsia="Arial" w:hAnsi="Arial" w:cs="Arial"/>
      <w:lang w:val="en-GB" w:eastAsia="en-GB" w:bidi="en-GB"/>
    </w:rPr>
  </w:style>
  <w:style w:type="table" w:styleId="TableGrid">
    <w:name w:val="Table Grid"/>
    <w:basedOn w:val="TableNormal"/>
    <w:uiPriority w:val="39"/>
    <w:rsid w:val="00E373E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5E8"/>
    <w:rPr>
      <w:rFonts w:ascii="Segoe UI" w:eastAsia="Arial" w:hAnsi="Segoe UI" w:cs="Segoe UI"/>
      <w:sz w:val="18"/>
      <w:szCs w:val="18"/>
      <w:lang w:val="en-GB" w:eastAsia="en-GB" w:bidi="en-GB"/>
    </w:rPr>
  </w:style>
  <w:style w:type="paragraph" w:styleId="TOCHeading">
    <w:name w:val="TOC Heading"/>
    <w:basedOn w:val="Heading1"/>
    <w:next w:val="Normal"/>
    <w:uiPriority w:val="39"/>
    <w:unhideWhenUsed/>
    <w:qFormat/>
    <w:rsid w:val="00D2402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customStyle="1" w:styleId="Heading1Char">
    <w:name w:val="Heading 1 Char"/>
    <w:basedOn w:val="DefaultParagraphFont"/>
    <w:link w:val="Heading1"/>
    <w:uiPriority w:val="9"/>
    <w:rsid w:val="0074282F"/>
    <w:rPr>
      <w:rFonts w:ascii="Open Sans" w:eastAsia="Arial" w:hAnsi="Open Sans" w:cs="Arial"/>
      <w:b/>
      <w:bCs/>
      <w:szCs w:val="28"/>
      <w:lang w:val="en-GB" w:eastAsia="en-GB" w:bidi="en-GB"/>
    </w:rPr>
  </w:style>
  <w:style w:type="character" w:customStyle="1" w:styleId="Heading2Char">
    <w:name w:val="Heading 2 Char"/>
    <w:basedOn w:val="DefaultParagraphFont"/>
    <w:link w:val="Heading2"/>
    <w:uiPriority w:val="9"/>
    <w:rsid w:val="0074282F"/>
    <w:rPr>
      <w:rFonts w:ascii="Open Sans" w:eastAsiaTheme="majorEastAsia" w:hAnsi="Open Sans" w:cstheme="majorBidi"/>
      <w:b/>
      <w:szCs w:val="26"/>
      <w:lang w:val="en-GB" w:eastAsia="en-GB" w:bidi="en-GB"/>
    </w:rPr>
  </w:style>
  <w:style w:type="paragraph" w:styleId="TOC1">
    <w:name w:val="toc 1"/>
    <w:basedOn w:val="Normal"/>
    <w:next w:val="Normal"/>
    <w:autoRedefine/>
    <w:uiPriority w:val="39"/>
    <w:unhideWhenUsed/>
    <w:rsid w:val="007062B3"/>
    <w:pPr>
      <w:spacing w:after="100"/>
    </w:pPr>
  </w:style>
  <w:style w:type="paragraph" w:styleId="TOC2">
    <w:name w:val="toc 2"/>
    <w:basedOn w:val="Normal"/>
    <w:next w:val="Normal"/>
    <w:autoRedefine/>
    <w:uiPriority w:val="39"/>
    <w:unhideWhenUsed/>
    <w:rsid w:val="007062B3"/>
    <w:pPr>
      <w:spacing w:after="100"/>
      <w:ind w:left="220"/>
    </w:pPr>
  </w:style>
  <w:style w:type="character" w:styleId="Hyperlink">
    <w:name w:val="Hyperlink"/>
    <w:basedOn w:val="DefaultParagraphFont"/>
    <w:uiPriority w:val="99"/>
    <w:unhideWhenUsed/>
    <w:rsid w:val="00706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49505">
      <w:bodyDiv w:val="1"/>
      <w:marLeft w:val="0"/>
      <w:marRight w:val="0"/>
      <w:marTop w:val="0"/>
      <w:marBottom w:val="0"/>
      <w:divBdr>
        <w:top w:val="none" w:sz="0" w:space="0" w:color="auto"/>
        <w:left w:val="none" w:sz="0" w:space="0" w:color="auto"/>
        <w:bottom w:val="none" w:sz="0" w:space="0" w:color="auto"/>
        <w:right w:val="none" w:sz="0" w:space="0" w:color="auto"/>
      </w:divBdr>
      <w:divsChild>
        <w:div w:id="195435632">
          <w:marLeft w:val="0"/>
          <w:marRight w:val="0"/>
          <w:marTop w:val="0"/>
          <w:marBottom w:val="0"/>
          <w:divBdr>
            <w:top w:val="none" w:sz="0" w:space="0" w:color="auto"/>
            <w:left w:val="none" w:sz="0" w:space="0" w:color="auto"/>
            <w:bottom w:val="none" w:sz="0" w:space="0" w:color="auto"/>
            <w:right w:val="none" w:sz="0" w:space="0" w:color="auto"/>
          </w:divBdr>
          <w:divsChild>
            <w:div w:id="1591892651">
              <w:marLeft w:val="0"/>
              <w:marRight w:val="0"/>
              <w:marTop w:val="0"/>
              <w:marBottom w:val="0"/>
              <w:divBdr>
                <w:top w:val="none" w:sz="0" w:space="0" w:color="auto"/>
                <w:left w:val="none" w:sz="0" w:space="0" w:color="auto"/>
                <w:bottom w:val="none" w:sz="0" w:space="0" w:color="auto"/>
                <w:right w:val="none" w:sz="0" w:space="0" w:color="auto"/>
              </w:divBdr>
            </w:div>
            <w:div w:id="1833370058">
              <w:marLeft w:val="0"/>
              <w:marRight w:val="0"/>
              <w:marTop w:val="0"/>
              <w:marBottom w:val="0"/>
              <w:divBdr>
                <w:top w:val="none" w:sz="0" w:space="0" w:color="auto"/>
                <w:left w:val="none" w:sz="0" w:space="0" w:color="auto"/>
                <w:bottom w:val="none" w:sz="0" w:space="0" w:color="auto"/>
                <w:right w:val="none" w:sz="0" w:space="0" w:color="auto"/>
              </w:divBdr>
            </w:div>
            <w:div w:id="708148706">
              <w:marLeft w:val="0"/>
              <w:marRight w:val="0"/>
              <w:marTop w:val="0"/>
              <w:marBottom w:val="0"/>
              <w:divBdr>
                <w:top w:val="none" w:sz="0" w:space="0" w:color="auto"/>
                <w:left w:val="none" w:sz="0" w:space="0" w:color="auto"/>
                <w:bottom w:val="none" w:sz="0" w:space="0" w:color="auto"/>
                <w:right w:val="none" w:sz="0" w:space="0" w:color="auto"/>
              </w:divBdr>
            </w:div>
            <w:div w:id="27724224">
              <w:marLeft w:val="0"/>
              <w:marRight w:val="0"/>
              <w:marTop w:val="0"/>
              <w:marBottom w:val="0"/>
              <w:divBdr>
                <w:top w:val="none" w:sz="0" w:space="0" w:color="auto"/>
                <w:left w:val="none" w:sz="0" w:space="0" w:color="auto"/>
                <w:bottom w:val="none" w:sz="0" w:space="0" w:color="auto"/>
                <w:right w:val="none" w:sz="0" w:space="0" w:color="auto"/>
              </w:divBdr>
            </w:div>
            <w:div w:id="676229547">
              <w:marLeft w:val="0"/>
              <w:marRight w:val="0"/>
              <w:marTop w:val="0"/>
              <w:marBottom w:val="0"/>
              <w:divBdr>
                <w:top w:val="none" w:sz="0" w:space="0" w:color="auto"/>
                <w:left w:val="none" w:sz="0" w:space="0" w:color="auto"/>
                <w:bottom w:val="none" w:sz="0" w:space="0" w:color="auto"/>
                <w:right w:val="none" w:sz="0" w:space="0" w:color="auto"/>
              </w:divBdr>
            </w:div>
            <w:div w:id="1247766038">
              <w:marLeft w:val="0"/>
              <w:marRight w:val="0"/>
              <w:marTop w:val="0"/>
              <w:marBottom w:val="0"/>
              <w:divBdr>
                <w:top w:val="none" w:sz="0" w:space="0" w:color="auto"/>
                <w:left w:val="none" w:sz="0" w:space="0" w:color="auto"/>
                <w:bottom w:val="none" w:sz="0" w:space="0" w:color="auto"/>
                <w:right w:val="none" w:sz="0" w:space="0" w:color="auto"/>
              </w:divBdr>
            </w:div>
            <w:div w:id="1842621096">
              <w:marLeft w:val="0"/>
              <w:marRight w:val="0"/>
              <w:marTop w:val="0"/>
              <w:marBottom w:val="0"/>
              <w:divBdr>
                <w:top w:val="none" w:sz="0" w:space="0" w:color="auto"/>
                <w:left w:val="none" w:sz="0" w:space="0" w:color="auto"/>
                <w:bottom w:val="none" w:sz="0" w:space="0" w:color="auto"/>
                <w:right w:val="none" w:sz="0" w:space="0" w:color="auto"/>
              </w:divBdr>
            </w:div>
            <w:div w:id="278611045">
              <w:marLeft w:val="0"/>
              <w:marRight w:val="0"/>
              <w:marTop w:val="0"/>
              <w:marBottom w:val="0"/>
              <w:divBdr>
                <w:top w:val="none" w:sz="0" w:space="0" w:color="auto"/>
                <w:left w:val="none" w:sz="0" w:space="0" w:color="auto"/>
                <w:bottom w:val="none" w:sz="0" w:space="0" w:color="auto"/>
                <w:right w:val="none" w:sz="0" w:space="0" w:color="auto"/>
              </w:divBdr>
            </w:div>
            <w:div w:id="1743022745">
              <w:marLeft w:val="0"/>
              <w:marRight w:val="0"/>
              <w:marTop w:val="0"/>
              <w:marBottom w:val="0"/>
              <w:divBdr>
                <w:top w:val="none" w:sz="0" w:space="0" w:color="auto"/>
                <w:left w:val="none" w:sz="0" w:space="0" w:color="auto"/>
                <w:bottom w:val="none" w:sz="0" w:space="0" w:color="auto"/>
                <w:right w:val="none" w:sz="0" w:space="0" w:color="auto"/>
              </w:divBdr>
            </w:div>
            <w:div w:id="174003236">
              <w:marLeft w:val="0"/>
              <w:marRight w:val="0"/>
              <w:marTop w:val="0"/>
              <w:marBottom w:val="0"/>
              <w:divBdr>
                <w:top w:val="none" w:sz="0" w:space="0" w:color="auto"/>
                <w:left w:val="none" w:sz="0" w:space="0" w:color="auto"/>
                <w:bottom w:val="none" w:sz="0" w:space="0" w:color="auto"/>
                <w:right w:val="none" w:sz="0" w:space="0" w:color="auto"/>
              </w:divBdr>
            </w:div>
            <w:div w:id="859049133">
              <w:marLeft w:val="0"/>
              <w:marRight w:val="0"/>
              <w:marTop w:val="0"/>
              <w:marBottom w:val="0"/>
              <w:divBdr>
                <w:top w:val="none" w:sz="0" w:space="0" w:color="auto"/>
                <w:left w:val="none" w:sz="0" w:space="0" w:color="auto"/>
                <w:bottom w:val="none" w:sz="0" w:space="0" w:color="auto"/>
                <w:right w:val="none" w:sz="0" w:space="0" w:color="auto"/>
              </w:divBdr>
            </w:div>
            <w:div w:id="1143694419">
              <w:marLeft w:val="0"/>
              <w:marRight w:val="0"/>
              <w:marTop w:val="0"/>
              <w:marBottom w:val="0"/>
              <w:divBdr>
                <w:top w:val="none" w:sz="0" w:space="0" w:color="auto"/>
                <w:left w:val="none" w:sz="0" w:space="0" w:color="auto"/>
                <w:bottom w:val="none" w:sz="0" w:space="0" w:color="auto"/>
                <w:right w:val="none" w:sz="0" w:space="0" w:color="auto"/>
              </w:divBdr>
            </w:div>
            <w:div w:id="1770158393">
              <w:marLeft w:val="0"/>
              <w:marRight w:val="0"/>
              <w:marTop w:val="0"/>
              <w:marBottom w:val="0"/>
              <w:divBdr>
                <w:top w:val="none" w:sz="0" w:space="0" w:color="auto"/>
                <w:left w:val="none" w:sz="0" w:space="0" w:color="auto"/>
                <w:bottom w:val="none" w:sz="0" w:space="0" w:color="auto"/>
                <w:right w:val="none" w:sz="0" w:space="0" w:color="auto"/>
              </w:divBdr>
            </w:div>
            <w:div w:id="706486528">
              <w:marLeft w:val="0"/>
              <w:marRight w:val="0"/>
              <w:marTop w:val="0"/>
              <w:marBottom w:val="0"/>
              <w:divBdr>
                <w:top w:val="none" w:sz="0" w:space="0" w:color="auto"/>
                <w:left w:val="none" w:sz="0" w:space="0" w:color="auto"/>
                <w:bottom w:val="none" w:sz="0" w:space="0" w:color="auto"/>
                <w:right w:val="none" w:sz="0" w:space="0" w:color="auto"/>
              </w:divBdr>
            </w:div>
            <w:div w:id="501161049">
              <w:marLeft w:val="0"/>
              <w:marRight w:val="0"/>
              <w:marTop w:val="0"/>
              <w:marBottom w:val="0"/>
              <w:divBdr>
                <w:top w:val="none" w:sz="0" w:space="0" w:color="auto"/>
                <w:left w:val="none" w:sz="0" w:space="0" w:color="auto"/>
                <w:bottom w:val="none" w:sz="0" w:space="0" w:color="auto"/>
                <w:right w:val="none" w:sz="0" w:space="0" w:color="auto"/>
              </w:divBdr>
            </w:div>
            <w:div w:id="1759062778">
              <w:marLeft w:val="0"/>
              <w:marRight w:val="0"/>
              <w:marTop w:val="0"/>
              <w:marBottom w:val="0"/>
              <w:divBdr>
                <w:top w:val="none" w:sz="0" w:space="0" w:color="auto"/>
                <w:left w:val="none" w:sz="0" w:space="0" w:color="auto"/>
                <w:bottom w:val="none" w:sz="0" w:space="0" w:color="auto"/>
                <w:right w:val="none" w:sz="0" w:space="0" w:color="auto"/>
              </w:divBdr>
            </w:div>
            <w:div w:id="1038432255">
              <w:marLeft w:val="0"/>
              <w:marRight w:val="0"/>
              <w:marTop w:val="0"/>
              <w:marBottom w:val="0"/>
              <w:divBdr>
                <w:top w:val="none" w:sz="0" w:space="0" w:color="auto"/>
                <w:left w:val="none" w:sz="0" w:space="0" w:color="auto"/>
                <w:bottom w:val="none" w:sz="0" w:space="0" w:color="auto"/>
                <w:right w:val="none" w:sz="0" w:space="0" w:color="auto"/>
              </w:divBdr>
            </w:div>
            <w:div w:id="1366324710">
              <w:marLeft w:val="0"/>
              <w:marRight w:val="0"/>
              <w:marTop w:val="0"/>
              <w:marBottom w:val="0"/>
              <w:divBdr>
                <w:top w:val="none" w:sz="0" w:space="0" w:color="auto"/>
                <w:left w:val="none" w:sz="0" w:space="0" w:color="auto"/>
                <w:bottom w:val="none" w:sz="0" w:space="0" w:color="auto"/>
                <w:right w:val="none" w:sz="0" w:space="0" w:color="auto"/>
              </w:divBdr>
            </w:div>
            <w:div w:id="654337672">
              <w:marLeft w:val="0"/>
              <w:marRight w:val="0"/>
              <w:marTop w:val="0"/>
              <w:marBottom w:val="0"/>
              <w:divBdr>
                <w:top w:val="none" w:sz="0" w:space="0" w:color="auto"/>
                <w:left w:val="none" w:sz="0" w:space="0" w:color="auto"/>
                <w:bottom w:val="none" w:sz="0" w:space="0" w:color="auto"/>
                <w:right w:val="none" w:sz="0" w:space="0" w:color="auto"/>
              </w:divBdr>
            </w:div>
            <w:div w:id="632562092">
              <w:marLeft w:val="0"/>
              <w:marRight w:val="0"/>
              <w:marTop w:val="0"/>
              <w:marBottom w:val="0"/>
              <w:divBdr>
                <w:top w:val="none" w:sz="0" w:space="0" w:color="auto"/>
                <w:left w:val="none" w:sz="0" w:space="0" w:color="auto"/>
                <w:bottom w:val="none" w:sz="0" w:space="0" w:color="auto"/>
                <w:right w:val="none" w:sz="0" w:space="0" w:color="auto"/>
              </w:divBdr>
            </w:div>
            <w:div w:id="1682779198">
              <w:marLeft w:val="0"/>
              <w:marRight w:val="0"/>
              <w:marTop w:val="0"/>
              <w:marBottom w:val="0"/>
              <w:divBdr>
                <w:top w:val="none" w:sz="0" w:space="0" w:color="auto"/>
                <w:left w:val="none" w:sz="0" w:space="0" w:color="auto"/>
                <w:bottom w:val="none" w:sz="0" w:space="0" w:color="auto"/>
                <w:right w:val="none" w:sz="0" w:space="0" w:color="auto"/>
              </w:divBdr>
            </w:div>
            <w:div w:id="1710572268">
              <w:marLeft w:val="0"/>
              <w:marRight w:val="0"/>
              <w:marTop w:val="0"/>
              <w:marBottom w:val="0"/>
              <w:divBdr>
                <w:top w:val="none" w:sz="0" w:space="0" w:color="auto"/>
                <w:left w:val="none" w:sz="0" w:space="0" w:color="auto"/>
                <w:bottom w:val="none" w:sz="0" w:space="0" w:color="auto"/>
                <w:right w:val="none" w:sz="0" w:space="0" w:color="auto"/>
              </w:divBdr>
            </w:div>
            <w:div w:id="2117286000">
              <w:marLeft w:val="0"/>
              <w:marRight w:val="0"/>
              <w:marTop w:val="0"/>
              <w:marBottom w:val="0"/>
              <w:divBdr>
                <w:top w:val="none" w:sz="0" w:space="0" w:color="auto"/>
                <w:left w:val="none" w:sz="0" w:space="0" w:color="auto"/>
                <w:bottom w:val="none" w:sz="0" w:space="0" w:color="auto"/>
                <w:right w:val="none" w:sz="0" w:space="0" w:color="auto"/>
              </w:divBdr>
            </w:div>
            <w:div w:id="900166434">
              <w:marLeft w:val="0"/>
              <w:marRight w:val="0"/>
              <w:marTop w:val="0"/>
              <w:marBottom w:val="0"/>
              <w:divBdr>
                <w:top w:val="none" w:sz="0" w:space="0" w:color="auto"/>
                <w:left w:val="none" w:sz="0" w:space="0" w:color="auto"/>
                <w:bottom w:val="none" w:sz="0" w:space="0" w:color="auto"/>
                <w:right w:val="none" w:sz="0" w:space="0" w:color="auto"/>
              </w:divBdr>
            </w:div>
            <w:div w:id="211844130">
              <w:marLeft w:val="0"/>
              <w:marRight w:val="0"/>
              <w:marTop w:val="0"/>
              <w:marBottom w:val="0"/>
              <w:divBdr>
                <w:top w:val="none" w:sz="0" w:space="0" w:color="auto"/>
                <w:left w:val="none" w:sz="0" w:space="0" w:color="auto"/>
                <w:bottom w:val="none" w:sz="0" w:space="0" w:color="auto"/>
                <w:right w:val="none" w:sz="0" w:space="0" w:color="auto"/>
              </w:divBdr>
            </w:div>
            <w:div w:id="1451122079">
              <w:marLeft w:val="0"/>
              <w:marRight w:val="0"/>
              <w:marTop w:val="0"/>
              <w:marBottom w:val="0"/>
              <w:divBdr>
                <w:top w:val="none" w:sz="0" w:space="0" w:color="auto"/>
                <w:left w:val="none" w:sz="0" w:space="0" w:color="auto"/>
                <w:bottom w:val="none" w:sz="0" w:space="0" w:color="auto"/>
                <w:right w:val="none" w:sz="0" w:space="0" w:color="auto"/>
              </w:divBdr>
            </w:div>
            <w:div w:id="1066683500">
              <w:marLeft w:val="0"/>
              <w:marRight w:val="0"/>
              <w:marTop w:val="0"/>
              <w:marBottom w:val="0"/>
              <w:divBdr>
                <w:top w:val="none" w:sz="0" w:space="0" w:color="auto"/>
                <w:left w:val="none" w:sz="0" w:space="0" w:color="auto"/>
                <w:bottom w:val="none" w:sz="0" w:space="0" w:color="auto"/>
                <w:right w:val="none" w:sz="0" w:space="0" w:color="auto"/>
              </w:divBdr>
            </w:div>
            <w:div w:id="444544409">
              <w:marLeft w:val="0"/>
              <w:marRight w:val="0"/>
              <w:marTop w:val="0"/>
              <w:marBottom w:val="0"/>
              <w:divBdr>
                <w:top w:val="none" w:sz="0" w:space="0" w:color="auto"/>
                <w:left w:val="none" w:sz="0" w:space="0" w:color="auto"/>
                <w:bottom w:val="none" w:sz="0" w:space="0" w:color="auto"/>
                <w:right w:val="none" w:sz="0" w:space="0" w:color="auto"/>
              </w:divBdr>
            </w:div>
            <w:div w:id="1482959819">
              <w:marLeft w:val="0"/>
              <w:marRight w:val="0"/>
              <w:marTop w:val="0"/>
              <w:marBottom w:val="0"/>
              <w:divBdr>
                <w:top w:val="none" w:sz="0" w:space="0" w:color="auto"/>
                <w:left w:val="none" w:sz="0" w:space="0" w:color="auto"/>
                <w:bottom w:val="none" w:sz="0" w:space="0" w:color="auto"/>
                <w:right w:val="none" w:sz="0" w:space="0" w:color="auto"/>
              </w:divBdr>
            </w:div>
            <w:div w:id="649675055">
              <w:marLeft w:val="0"/>
              <w:marRight w:val="0"/>
              <w:marTop w:val="0"/>
              <w:marBottom w:val="0"/>
              <w:divBdr>
                <w:top w:val="none" w:sz="0" w:space="0" w:color="auto"/>
                <w:left w:val="none" w:sz="0" w:space="0" w:color="auto"/>
                <w:bottom w:val="none" w:sz="0" w:space="0" w:color="auto"/>
                <w:right w:val="none" w:sz="0" w:space="0" w:color="auto"/>
              </w:divBdr>
            </w:div>
          </w:divsChild>
        </w:div>
        <w:div w:id="1420639929">
          <w:marLeft w:val="0"/>
          <w:marRight w:val="0"/>
          <w:marTop w:val="0"/>
          <w:marBottom w:val="0"/>
          <w:divBdr>
            <w:top w:val="none" w:sz="0" w:space="0" w:color="auto"/>
            <w:left w:val="none" w:sz="0" w:space="0" w:color="auto"/>
            <w:bottom w:val="none" w:sz="0" w:space="0" w:color="auto"/>
            <w:right w:val="none" w:sz="0" w:space="0" w:color="auto"/>
          </w:divBdr>
          <w:divsChild>
            <w:div w:id="20295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A47B3-8DB0-4E6D-9D94-6631088B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Taylor</cp:lastModifiedBy>
  <cp:revision>2</cp:revision>
  <cp:lastPrinted>2018-10-11T07:33:00Z</cp:lastPrinted>
  <dcterms:created xsi:type="dcterms:W3CDTF">2019-02-13T10:01:00Z</dcterms:created>
  <dcterms:modified xsi:type="dcterms:W3CDTF">2019-02-13T10:01:00Z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2016</vt:lpwstr>
  </property>
  <property fmtid="{D5CDD505-2E9C-101B-9397-08002B2CF9AE}" pid="4" name="LastSaved">
    <vt:filetime>2018-10-11T00:00:00Z</vt:filetime>
  </property>
</Properties>
</file>