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0468" w14:textId="167D6A4D" w:rsidR="0053321A" w:rsidRPr="00B75021" w:rsidRDefault="0053321A" w:rsidP="0053321A">
      <w:pPr>
        <w:rPr>
          <w:rFonts w:ascii="Times New Roman" w:hAnsi="Times New Roman" w:cs="Times New Roman"/>
          <w:b/>
          <w:bCs/>
          <w:sz w:val="28"/>
          <w:szCs w:val="28"/>
        </w:rPr>
      </w:pPr>
      <w:r w:rsidRPr="00B75021">
        <w:rPr>
          <w:rFonts w:ascii="Times New Roman" w:hAnsi="Times New Roman" w:cs="Times New Roman"/>
          <w:b/>
          <w:bCs/>
          <w:sz w:val="28"/>
          <w:szCs w:val="28"/>
        </w:rPr>
        <w:t>Medications Use in Scouting</w:t>
      </w:r>
    </w:p>
    <w:p w14:paraId="2A610C45" w14:textId="50BD3646" w:rsidR="0053321A" w:rsidRPr="0053321A" w:rsidRDefault="0053321A" w:rsidP="0053321A">
      <w:pPr>
        <w:rPr>
          <w:rFonts w:ascii="Times New Roman" w:hAnsi="Times New Roman" w:cs="Times New Roman"/>
          <w:sz w:val="28"/>
          <w:szCs w:val="28"/>
        </w:rPr>
      </w:pPr>
      <w:r w:rsidRPr="0053321A">
        <w:rPr>
          <w:rFonts w:ascii="Times New Roman" w:hAnsi="Times New Roman" w:cs="Times New Roman"/>
          <w:sz w:val="28"/>
          <w:szCs w:val="28"/>
        </w:rPr>
        <w:t>SUMMARY</w:t>
      </w:r>
    </w:p>
    <w:p w14:paraId="68208124" w14:textId="7D588A96" w:rsidR="0053321A" w:rsidRPr="0053321A" w:rsidRDefault="0053321A" w:rsidP="0053321A">
      <w:pPr>
        <w:rPr>
          <w:rFonts w:ascii="Times New Roman" w:hAnsi="Times New Roman" w:cs="Times New Roman"/>
          <w:sz w:val="28"/>
          <w:szCs w:val="28"/>
        </w:rPr>
      </w:pPr>
      <w:r w:rsidRPr="0053321A">
        <w:rPr>
          <w:rFonts w:ascii="Times New Roman" w:hAnsi="Times New Roman" w:cs="Times New Roman"/>
          <w:sz w:val="28"/>
          <w:szCs w:val="28"/>
        </w:rPr>
        <w:t xml:space="preserve">With an increasing number of </w:t>
      </w:r>
      <w:r w:rsidR="00B75021" w:rsidRPr="0053321A">
        <w:rPr>
          <w:rFonts w:ascii="Times New Roman" w:hAnsi="Times New Roman" w:cs="Times New Roman"/>
          <w:sz w:val="28"/>
          <w:szCs w:val="28"/>
        </w:rPr>
        <w:t>youths</w:t>
      </w:r>
      <w:r w:rsidRPr="0053321A">
        <w:rPr>
          <w:rFonts w:ascii="Times New Roman" w:hAnsi="Times New Roman" w:cs="Times New Roman"/>
          <w:sz w:val="28"/>
          <w:szCs w:val="28"/>
        </w:rPr>
        <w:t xml:space="preserve"> taking prescribed medications, leaders need some basic tools and guidance for helping youth use their prescriptions safely. The BSA understands that leaders, no matter how diligent, may not know or understand every health-related issue of the youth members in their unit. Remember that proper use of a prescription is the responsibility of the individual taking it, or that individual’s parent or guardian. Good planning, preparedness, and knowledge are necessary for keeping youth safe and healthy</w:t>
      </w:r>
      <w:r>
        <w:rPr>
          <w:rFonts w:ascii="Times New Roman" w:hAnsi="Times New Roman" w:cs="Times New Roman"/>
          <w:sz w:val="28"/>
          <w:szCs w:val="28"/>
        </w:rPr>
        <w:t>.</w:t>
      </w:r>
    </w:p>
    <w:p w14:paraId="42072642" w14:textId="77777777" w:rsidR="0053321A" w:rsidRPr="0053321A" w:rsidRDefault="0053321A" w:rsidP="00B75021">
      <w:pPr>
        <w:rPr>
          <w:rFonts w:ascii="Times New Roman" w:hAnsi="Times New Roman" w:cs="Times New Roman"/>
          <w:sz w:val="28"/>
          <w:szCs w:val="28"/>
        </w:rPr>
      </w:pPr>
      <w:r w:rsidRPr="0053321A">
        <w:rPr>
          <w:rFonts w:ascii="Times New Roman" w:hAnsi="Times New Roman" w:cs="Times New Roman"/>
          <w:sz w:val="28"/>
          <w:szCs w:val="28"/>
        </w:rPr>
        <w:t>GENERAL INFORMATION</w:t>
      </w:r>
    </w:p>
    <w:p w14:paraId="27538633" w14:textId="77777777" w:rsidR="0053321A" w:rsidRPr="0053321A" w:rsidRDefault="0053321A" w:rsidP="0053321A">
      <w:pPr>
        <w:shd w:val="clear" w:color="auto" w:fill="FFFFFF"/>
        <w:spacing w:after="100" w:afterAutospacing="1" w:line="240" w:lineRule="auto"/>
        <w:rPr>
          <w:rFonts w:ascii="Times New Roman" w:eastAsia="Times New Roman" w:hAnsi="Times New Roman" w:cs="Times New Roman"/>
          <w:color w:val="515354"/>
          <w:kern w:val="0"/>
          <w:sz w:val="28"/>
          <w:szCs w:val="28"/>
          <w14:ligatures w14:val="none"/>
        </w:rPr>
      </w:pPr>
      <w:r w:rsidRPr="0053321A">
        <w:rPr>
          <w:rFonts w:ascii="Times New Roman" w:eastAsia="Times New Roman" w:hAnsi="Times New Roman" w:cs="Times New Roman"/>
          <w:color w:val="515354"/>
          <w:kern w:val="0"/>
          <w:sz w:val="28"/>
          <w:szCs w:val="28"/>
          <w14:ligatures w14:val="none"/>
        </w:rPr>
        <w:t>One essential tool is Medication Use in Scouting, No. 680-036, available at </w:t>
      </w:r>
      <w:hyperlink r:id="rId5" w:history="1">
        <w:r w:rsidRPr="0053321A">
          <w:rPr>
            <w:rFonts w:ascii="Times New Roman" w:eastAsia="Times New Roman" w:hAnsi="Times New Roman" w:cs="Times New Roman"/>
            <w:b/>
            <w:bCs/>
            <w:color w:val="006CFF"/>
            <w:kern w:val="0"/>
            <w:sz w:val="28"/>
            <w:szCs w:val="28"/>
            <w14:ligatures w14:val="none"/>
          </w:rPr>
          <w:t>www.scouting.org/health-and-safety/guidelinespolicies/</w:t>
        </w:r>
      </w:hyperlink>
      <w:r w:rsidRPr="0053321A">
        <w:rPr>
          <w:rFonts w:ascii="Times New Roman" w:eastAsia="Times New Roman" w:hAnsi="Times New Roman" w:cs="Times New Roman"/>
          <w:color w:val="515354"/>
          <w:kern w:val="0"/>
          <w:sz w:val="28"/>
          <w:szCs w:val="28"/>
          <w14:ligatures w14:val="none"/>
        </w:rPr>
        <w:t>. We encourage you to review this document periodically. It has eight basic elements:</w:t>
      </w:r>
    </w:p>
    <w:p w14:paraId="4A500C4C" w14:textId="77777777" w:rsidR="0053321A" w:rsidRPr="0053321A" w:rsidRDefault="0053321A" w:rsidP="0053321A">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53321A">
        <w:rPr>
          <w:rFonts w:ascii="Times New Roman" w:eastAsia="Times New Roman" w:hAnsi="Times New Roman" w:cs="Times New Roman"/>
          <w:b/>
          <w:bCs/>
          <w:color w:val="515354"/>
          <w:kern w:val="0"/>
          <w:sz w:val="28"/>
          <w:szCs w:val="28"/>
          <w14:ligatures w14:val="none"/>
        </w:rPr>
        <w:t>AHMR (Annual Health and Medical Record).</w:t>
      </w:r>
      <w:r w:rsidRPr="0053321A">
        <w:rPr>
          <w:rFonts w:ascii="Times New Roman" w:eastAsia="Times New Roman" w:hAnsi="Times New Roman" w:cs="Times New Roman"/>
          <w:color w:val="515354"/>
          <w:kern w:val="0"/>
          <w:sz w:val="28"/>
          <w:szCs w:val="28"/>
          <w14:ligatures w14:val="none"/>
        </w:rPr>
        <w:t> A critical component to protecting a youth participant is knowing that he or she is physically prepared for a Scouting event. A completed AHMR for each individual gives leaders and providers the information they need to begin treatment in an emergency. It is important that ALL medications the individual uses are listed on the form.</w:t>
      </w:r>
    </w:p>
    <w:p w14:paraId="7BF49B2B" w14:textId="77777777" w:rsidR="0053321A" w:rsidRPr="0053321A" w:rsidRDefault="0053321A" w:rsidP="0053321A">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53321A">
        <w:rPr>
          <w:rFonts w:ascii="Times New Roman" w:eastAsia="Times New Roman" w:hAnsi="Times New Roman" w:cs="Times New Roman"/>
          <w:b/>
          <w:bCs/>
          <w:color w:val="515354"/>
          <w:kern w:val="0"/>
          <w:sz w:val="28"/>
          <w:szCs w:val="28"/>
          <w14:ligatures w14:val="none"/>
        </w:rPr>
        <w:t>Plan.</w:t>
      </w:r>
      <w:r w:rsidRPr="0053321A">
        <w:rPr>
          <w:rFonts w:ascii="Times New Roman" w:eastAsia="Times New Roman" w:hAnsi="Times New Roman" w:cs="Times New Roman"/>
          <w:color w:val="515354"/>
          <w:kern w:val="0"/>
          <w:sz w:val="28"/>
          <w:szCs w:val="28"/>
          <w14:ligatures w14:val="none"/>
        </w:rPr>
        <w:t> A medication use plan should also be developed if a leader will be involved in managing a youth’s medication during an event.</w:t>
      </w:r>
    </w:p>
    <w:p w14:paraId="71F1BF79" w14:textId="77777777" w:rsidR="0053321A" w:rsidRPr="0053321A" w:rsidRDefault="0053321A" w:rsidP="0053321A">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53321A">
        <w:rPr>
          <w:rFonts w:ascii="Times New Roman" w:eastAsia="Times New Roman" w:hAnsi="Times New Roman" w:cs="Times New Roman"/>
          <w:b/>
          <w:bCs/>
          <w:color w:val="515354"/>
          <w:kern w:val="0"/>
          <w:sz w:val="28"/>
          <w:szCs w:val="28"/>
          <w14:ligatures w14:val="none"/>
        </w:rPr>
        <w:t>Supervision.</w:t>
      </w:r>
      <w:r w:rsidRPr="0053321A">
        <w:rPr>
          <w:rFonts w:ascii="Times New Roman" w:eastAsia="Times New Roman" w:hAnsi="Times New Roman" w:cs="Times New Roman"/>
          <w:color w:val="515354"/>
          <w:kern w:val="0"/>
          <w:sz w:val="28"/>
          <w:szCs w:val="28"/>
          <w14:ligatures w14:val="none"/>
        </w:rPr>
        <w:t> Based on the plan, there should be clear agreement on who is helping the youth member with their medications—especially when the youth is not able to self-administer or when special circumstances exist.</w:t>
      </w:r>
    </w:p>
    <w:p w14:paraId="624B72BA" w14:textId="77777777" w:rsidR="0053321A" w:rsidRPr="0053321A" w:rsidRDefault="0053321A" w:rsidP="0053321A">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53321A">
        <w:rPr>
          <w:rFonts w:ascii="Times New Roman" w:eastAsia="Times New Roman" w:hAnsi="Times New Roman" w:cs="Times New Roman"/>
          <w:b/>
          <w:bCs/>
          <w:color w:val="515354"/>
          <w:kern w:val="0"/>
          <w:sz w:val="28"/>
          <w:szCs w:val="28"/>
          <w14:ligatures w14:val="none"/>
        </w:rPr>
        <w:t>Labeling.</w:t>
      </w:r>
      <w:r w:rsidRPr="0053321A">
        <w:rPr>
          <w:rFonts w:ascii="Times New Roman" w:eastAsia="Times New Roman" w:hAnsi="Times New Roman" w:cs="Times New Roman"/>
          <w:color w:val="515354"/>
          <w:kern w:val="0"/>
          <w:sz w:val="28"/>
          <w:szCs w:val="28"/>
          <w14:ligatures w14:val="none"/>
        </w:rPr>
        <w:t> Medications must be accurately labeled to prevent errors.</w:t>
      </w:r>
    </w:p>
    <w:p w14:paraId="037D2776" w14:textId="77777777" w:rsidR="0053321A" w:rsidRPr="0053321A" w:rsidRDefault="0053321A" w:rsidP="0053321A">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53321A">
        <w:rPr>
          <w:rFonts w:ascii="Times New Roman" w:eastAsia="Times New Roman" w:hAnsi="Times New Roman" w:cs="Times New Roman"/>
          <w:b/>
          <w:bCs/>
          <w:color w:val="515354"/>
          <w:kern w:val="0"/>
          <w:sz w:val="28"/>
          <w:szCs w:val="28"/>
          <w14:ligatures w14:val="none"/>
        </w:rPr>
        <w:t>Storage.</w:t>
      </w:r>
      <w:r w:rsidRPr="0053321A">
        <w:rPr>
          <w:rFonts w:ascii="Times New Roman" w:eastAsia="Times New Roman" w:hAnsi="Times New Roman" w:cs="Times New Roman"/>
          <w:color w:val="515354"/>
          <w:kern w:val="0"/>
          <w:sz w:val="28"/>
          <w:szCs w:val="28"/>
          <w14:ligatures w14:val="none"/>
        </w:rPr>
        <w:t> The plan should include storage for all high-risk medications and those with special requirements like refrigeration.</w:t>
      </w:r>
    </w:p>
    <w:p w14:paraId="735F7DD4" w14:textId="77777777" w:rsidR="0053321A" w:rsidRPr="0053321A" w:rsidRDefault="0053321A" w:rsidP="0053321A">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53321A">
        <w:rPr>
          <w:rFonts w:ascii="Times New Roman" w:eastAsia="Times New Roman" w:hAnsi="Times New Roman" w:cs="Times New Roman"/>
          <w:b/>
          <w:bCs/>
          <w:color w:val="515354"/>
          <w:kern w:val="0"/>
          <w:sz w:val="28"/>
          <w:szCs w:val="28"/>
          <w14:ligatures w14:val="none"/>
        </w:rPr>
        <w:t>Emergency Medication.</w:t>
      </w:r>
      <w:r w:rsidRPr="0053321A">
        <w:rPr>
          <w:rFonts w:ascii="Times New Roman" w:eastAsia="Times New Roman" w:hAnsi="Times New Roman" w:cs="Times New Roman"/>
          <w:color w:val="515354"/>
          <w:kern w:val="0"/>
          <w:sz w:val="28"/>
          <w:szCs w:val="28"/>
          <w14:ligatures w14:val="none"/>
        </w:rPr>
        <w:t> Make sure that youth with asthma inhalers or epinephrine auto-injectors have what they need when they need it. They should know how to use the medicines, and they should report the use to an adult.</w:t>
      </w:r>
    </w:p>
    <w:p w14:paraId="316B356A" w14:textId="77777777" w:rsidR="0053321A" w:rsidRPr="0053321A" w:rsidRDefault="0053321A" w:rsidP="0053321A">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53321A">
        <w:rPr>
          <w:rFonts w:ascii="Times New Roman" w:eastAsia="Times New Roman" w:hAnsi="Times New Roman" w:cs="Times New Roman"/>
          <w:b/>
          <w:bCs/>
          <w:color w:val="515354"/>
          <w:kern w:val="0"/>
          <w:sz w:val="28"/>
          <w:szCs w:val="28"/>
          <w14:ligatures w14:val="none"/>
        </w:rPr>
        <w:t>Nonprescription Medications.</w:t>
      </w:r>
      <w:r w:rsidRPr="0053321A">
        <w:rPr>
          <w:rFonts w:ascii="Times New Roman" w:eastAsia="Times New Roman" w:hAnsi="Times New Roman" w:cs="Times New Roman"/>
          <w:color w:val="515354"/>
          <w:kern w:val="0"/>
          <w:sz w:val="28"/>
          <w:szCs w:val="28"/>
          <w14:ligatures w14:val="none"/>
        </w:rPr>
        <w:t> Ensure clear guidance is in place for all nonprescription medications that may be provided by adult leaders or kept by a youth member for use as needed.</w:t>
      </w:r>
    </w:p>
    <w:p w14:paraId="78ECDFAC" w14:textId="77777777" w:rsidR="0053321A" w:rsidRPr="0053321A" w:rsidRDefault="0053321A" w:rsidP="0053321A">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53321A">
        <w:rPr>
          <w:rFonts w:ascii="Times New Roman" w:eastAsia="Times New Roman" w:hAnsi="Times New Roman" w:cs="Times New Roman"/>
          <w:b/>
          <w:bCs/>
          <w:color w:val="515354"/>
          <w:kern w:val="0"/>
          <w:sz w:val="28"/>
          <w:szCs w:val="28"/>
          <w14:ligatures w14:val="none"/>
        </w:rPr>
        <w:lastRenderedPageBreak/>
        <w:t>Accountability.</w:t>
      </w:r>
      <w:r w:rsidRPr="0053321A">
        <w:rPr>
          <w:rFonts w:ascii="Times New Roman" w:eastAsia="Times New Roman" w:hAnsi="Times New Roman" w:cs="Times New Roman"/>
          <w:color w:val="515354"/>
          <w:kern w:val="0"/>
          <w:sz w:val="28"/>
          <w:szCs w:val="28"/>
          <w14:ligatures w14:val="none"/>
        </w:rPr>
        <w:t> One best practice, though not required, is to have documentation on hand for all stored medications that may be taken by youth.</w:t>
      </w:r>
    </w:p>
    <w:p w14:paraId="4600A757" w14:textId="77777777" w:rsidR="0053321A" w:rsidRPr="0053321A" w:rsidRDefault="0053321A">
      <w:pPr>
        <w:rPr>
          <w:rFonts w:ascii="Times New Roman" w:hAnsi="Times New Roman" w:cs="Times New Roman"/>
          <w:sz w:val="28"/>
          <w:szCs w:val="28"/>
        </w:rPr>
      </w:pPr>
    </w:p>
    <w:sectPr w:rsidR="0053321A" w:rsidRPr="00533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07630"/>
    <w:multiLevelType w:val="multilevel"/>
    <w:tmpl w:val="E4A8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314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1A"/>
    <w:rsid w:val="0053321A"/>
    <w:rsid w:val="00B7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25B6"/>
  <w15:chartTrackingRefBased/>
  <w15:docId w15:val="{F50EADAB-B555-416F-98BF-05C0B054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33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33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21A"/>
    <w:rPr>
      <w:rFonts w:eastAsiaTheme="majorEastAsia" w:cstheme="majorBidi"/>
      <w:color w:val="272727" w:themeColor="text1" w:themeTint="D8"/>
    </w:rPr>
  </w:style>
  <w:style w:type="paragraph" w:styleId="Title">
    <w:name w:val="Title"/>
    <w:basedOn w:val="Normal"/>
    <w:next w:val="Normal"/>
    <w:link w:val="TitleChar"/>
    <w:uiPriority w:val="10"/>
    <w:qFormat/>
    <w:rsid w:val="00533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21A"/>
    <w:pPr>
      <w:spacing w:before="160"/>
      <w:jc w:val="center"/>
    </w:pPr>
    <w:rPr>
      <w:i/>
      <w:iCs/>
      <w:color w:val="404040" w:themeColor="text1" w:themeTint="BF"/>
    </w:rPr>
  </w:style>
  <w:style w:type="character" w:customStyle="1" w:styleId="QuoteChar">
    <w:name w:val="Quote Char"/>
    <w:basedOn w:val="DefaultParagraphFont"/>
    <w:link w:val="Quote"/>
    <w:uiPriority w:val="29"/>
    <w:rsid w:val="0053321A"/>
    <w:rPr>
      <w:i/>
      <w:iCs/>
      <w:color w:val="404040" w:themeColor="text1" w:themeTint="BF"/>
    </w:rPr>
  </w:style>
  <w:style w:type="paragraph" w:styleId="ListParagraph">
    <w:name w:val="List Paragraph"/>
    <w:basedOn w:val="Normal"/>
    <w:uiPriority w:val="34"/>
    <w:qFormat/>
    <w:rsid w:val="0053321A"/>
    <w:pPr>
      <w:ind w:left="720"/>
      <w:contextualSpacing/>
    </w:pPr>
  </w:style>
  <w:style w:type="character" w:styleId="IntenseEmphasis">
    <w:name w:val="Intense Emphasis"/>
    <w:basedOn w:val="DefaultParagraphFont"/>
    <w:uiPriority w:val="21"/>
    <w:qFormat/>
    <w:rsid w:val="0053321A"/>
    <w:rPr>
      <w:i/>
      <w:iCs/>
      <w:color w:val="0F4761" w:themeColor="accent1" w:themeShade="BF"/>
    </w:rPr>
  </w:style>
  <w:style w:type="paragraph" w:styleId="IntenseQuote">
    <w:name w:val="Intense Quote"/>
    <w:basedOn w:val="Normal"/>
    <w:next w:val="Normal"/>
    <w:link w:val="IntenseQuoteChar"/>
    <w:uiPriority w:val="30"/>
    <w:qFormat/>
    <w:rsid w:val="00533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21A"/>
    <w:rPr>
      <w:i/>
      <w:iCs/>
      <w:color w:val="0F4761" w:themeColor="accent1" w:themeShade="BF"/>
    </w:rPr>
  </w:style>
  <w:style w:type="character" w:styleId="IntenseReference">
    <w:name w:val="Intense Reference"/>
    <w:basedOn w:val="DefaultParagraphFont"/>
    <w:uiPriority w:val="32"/>
    <w:qFormat/>
    <w:rsid w:val="0053321A"/>
    <w:rPr>
      <w:b/>
      <w:bCs/>
      <w:smallCaps/>
      <w:color w:val="0F4761" w:themeColor="accent1" w:themeShade="BF"/>
      <w:spacing w:val="5"/>
    </w:rPr>
  </w:style>
  <w:style w:type="character" w:styleId="Strong">
    <w:name w:val="Strong"/>
    <w:basedOn w:val="DefaultParagraphFont"/>
    <w:uiPriority w:val="22"/>
    <w:qFormat/>
    <w:rsid w:val="0053321A"/>
    <w:rPr>
      <w:b/>
      <w:bCs/>
    </w:rPr>
  </w:style>
  <w:style w:type="paragraph" w:styleId="NormalWeb">
    <w:name w:val="Normal (Web)"/>
    <w:basedOn w:val="Normal"/>
    <w:uiPriority w:val="99"/>
    <w:semiHidden/>
    <w:unhideWhenUsed/>
    <w:rsid w:val="0053321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5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outing.org/health-and-safety/guidelines-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Martin</dc:creator>
  <cp:keywords/>
  <dc:description/>
  <cp:lastModifiedBy>George Martin</cp:lastModifiedBy>
  <cp:revision>2</cp:revision>
  <dcterms:created xsi:type="dcterms:W3CDTF">2024-02-06T20:03:00Z</dcterms:created>
  <dcterms:modified xsi:type="dcterms:W3CDTF">2024-02-06T20:12:00Z</dcterms:modified>
</cp:coreProperties>
</file>