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4926" w14:textId="77777777" w:rsidR="00335D99" w:rsidRPr="00CF5DE7" w:rsidRDefault="00335D99">
      <w:pPr>
        <w:pStyle w:val="BodyText"/>
        <w:rPr>
          <w:rFonts w:ascii="Open Sans" w:hAnsi="Open Sans" w:cs="Open Sans"/>
        </w:rPr>
      </w:pPr>
      <w:bookmarkStart w:id="0" w:name="_Hlk527309339"/>
    </w:p>
    <w:p w14:paraId="25CD1059" w14:textId="77777777" w:rsidR="00335D99" w:rsidRPr="00CF5DE7" w:rsidRDefault="00335D99">
      <w:pPr>
        <w:pStyle w:val="BodyText"/>
        <w:rPr>
          <w:rFonts w:ascii="Open Sans" w:hAnsi="Open Sans" w:cs="Open Sans"/>
        </w:rPr>
      </w:pPr>
    </w:p>
    <w:p w14:paraId="46F8DC21" w14:textId="77777777" w:rsidR="00335D99" w:rsidRPr="00CF5DE7" w:rsidRDefault="00335D99">
      <w:pPr>
        <w:pStyle w:val="BodyText"/>
        <w:rPr>
          <w:rFonts w:ascii="Open Sans" w:hAnsi="Open Sans" w:cs="Open Sans"/>
        </w:rPr>
      </w:pPr>
    </w:p>
    <w:p w14:paraId="5421C7DC" w14:textId="77777777" w:rsidR="00E373EE" w:rsidRPr="00CF5DE7" w:rsidRDefault="00E373EE" w:rsidP="00E373EE">
      <w:pPr>
        <w:shd w:val="clear" w:color="auto" w:fill="FFFFFF"/>
        <w:jc w:val="center"/>
        <w:rPr>
          <w:rFonts w:ascii="Open Sans" w:eastAsia="Times New Roman" w:hAnsi="Open Sans" w:cs="Open Sans"/>
          <w:b/>
          <w:bCs/>
          <w:color w:val="283C46"/>
        </w:rPr>
      </w:pPr>
    </w:p>
    <w:p w14:paraId="2EFD3603" w14:textId="77777777" w:rsidR="00E373EE" w:rsidRPr="00F9461E" w:rsidRDefault="00E373EE" w:rsidP="00E373EE">
      <w:pPr>
        <w:shd w:val="clear" w:color="auto" w:fill="FFFFFF"/>
        <w:jc w:val="center"/>
        <w:rPr>
          <w:rFonts w:ascii="Open Sans" w:eastAsia="Times New Roman" w:hAnsi="Open Sans" w:cs="Open Sans"/>
          <w:b/>
          <w:bCs/>
          <w:color w:val="283C46"/>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6219"/>
        <w:gridCol w:w="1766"/>
      </w:tblGrid>
      <w:tr w:rsidR="00E373EE" w:rsidRPr="00F9461E" w14:paraId="07FA7E23" w14:textId="77777777" w:rsidTr="00EC5812">
        <w:tc>
          <w:tcPr>
            <w:tcW w:w="9450" w:type="dxa"/>
            <w:gridSpan w:val="3"/>
          </w:tcPr>
          <w:p w14:paraId="154FAA9F" w14:textId="77777777" w:rsidR="00E373EE" w:rsidRPr="00896B24" w:rsidRDefault="002B51DB" w:rsidP="00EC5812">
            <w:pPr>
              <w:jc w:val="center"/>
              <w:rPr>
                <w:rFonts w:ascii="Open Sans" w:eastAsia="Times New Roman" w:hAnsi="Open Sans" w:cs="Open Sans"/>
                <w:b/>
                <w:bCs/>
                <w:color w:val="990033"/>
                <w:sz w:val="44"/>
              </w:rPr>
            </w:pPr>
            <w:r w:rsidRPr="00896B24">
              <w:rPr>
                <w:rFonts w:ascii="Open Sans" w:eastAsia="Times New Roman" w:hAnsi="Open Sans" w:cs="Open Sans"/>
                <w:b/>
                <w:bCs/>
                <w:color w:val="990033"/>
                <w:sz w:val="44"/>
              </w:rPr>
              <w:t>EXAMINATION POLICY</w:t>
            </w:r>
          </w:p>
          <w:p w14:paraId="430DEAEE" w14:textId="3C6FD519" w:rsidR="002B51DB" w:rsidRPr="00F9461E" w:rsidRDefault="0028395A" w:rsidP="00EC5812">
            <w:pPr>
              <w:jc w:val="center"/>
              <w:rPr>
                <w:rFonts w:ascii="Open Sans" w:eastAsia="Times New Roman" w:hAnsi="Open Sans" w:cs="Open Sans"/>
                <w:b/>
                <w:bCs/>
                <w:color w:val="990033"/>
                <w:sz w:val="40"/>
              </w:rPr>
            </w:pPr>
            <w:r>
              <w:rPr>
                <w:rFonts w:ascii="Open Sans" w:eastAsia="Times New Roman" w:hAnsi="Open Sans" w:cs="Open Sans"/>
                <w:b/>
                <w:bCs/>
                <w:color w:val="990033"/>
                <w:sz w:val="40"/>
              </w:rPr>
              <w:t>DISABILITY</w:t>
            </w:r>
          </w:p>
        </w:tc>
      </w:tr>
      <w:tr w:rsidR="00E373EE" w:rsidRPr="00CF5DE7" w14:paraId="45893B57" w14:textId="77777777" w:rsidTr="00EC5812">
        <w:tc>
          <w:tcPr>
            <w:tcW w:w="3150" w:type="dxa"/>
          </w:tcPr>
          <w:p w14:paraId="2FC5B7BE" w14:textId="77777777" w:rsidR="00E373EE" w:rsidRPr="00CF5DE7" w:rsidRDefault="00E373EE" w:rsidP="00EC5812">
            <w:pPr>
              <w:jc w:val="center"/>
              <w:rPr>
                <w:rFonts w:ascii="Open Sans" w:eastAsia="Times New Roman" w:hAnsi="Open Sans" w:cs="Open Sans"/>
                <w:b/>
                <w:bCs/>
                <w:color w:val="283C46"/>
              </w:rPr>
            </w:pPr>
          </w:p>
        </w:tc>
        <w:tc>
          <w:tcPr>
            <w:tcW w:w="3150" w:type="dxa"/>
          </w:tcPr>
          <w:p w14:paraId="4F26C23F" w14:textId="77777777" w:rsidR="00E373EE" w:rsidRPr="00CF5DE7" w:rsidRDefault="00E373EE" w:rsidP="00EC5812">
            <w:pPr>
              <w:jc w:val="center"/>
              <w:rPr>
                <w:rFonts w:ascii="Open Sans" w:eastAsia="Times New Roman" w:hAnsi="Open Sans" w:cs="Open Sans"/>
                <w:b/>
                <w:bCs/>
                <w:color w:val="283C46"/>
              </w:rPr>
            </w:pPr>
            <w:r w:rsidRPr="00CF5DE7">
              <w:rPr>
                <w:rFonts w:ascii="Open Sans" w:eastAsia="Times New Roman" w:hAnsi="Open Sans" w:cs="Open Sans"/>
                <w:b/>
                <w:bCs/>
                <w:noProof/>
                <w:color w:val="283C46"/>
              </w:rPr>
              <w:drawing>
                <wp:inline distT="0" distB="0" distL="0" distR="0" wp14:anchorId="00CEC75E" wp14:editId="17C3086A">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1CF6DD01" w14:textId="77777777" w:rsidR="00E373EE" w:rsidRPr="00CF5DE7" w:rsidRDefault="00E373EE" w:rsidP="00EC5812">
            <w:pPr>
              <w:jc w:val="center"/>
              <w:rPr>
                <w:rFonts w:ascii="Open Sans" w:eastAsia="Times New Roman" w:hAnsi="Open Sans" w:cs="Open Sans"/>
                <w:b/>
                <w:bCs/>
                <w:color w:val="283C46"/>
              </w:rPr>
            </w:pPr>
          </w:p>
        </w:tc>
      </w:tr>
    </w:tbl>
    <w:p w14:paraId="3828E0A4" w14:textId="77777777" w:rsidR="008069B7" w:rsidRDefault="008069B7" w:rsidP="00E373EE">
      <w:pPr>
        <w:shd w:val="clear" w:color="auto" w:fill="FFFFFF"/>
        <w:rPr>
          <w:rFonts w:ascii="Open Sans" w:eastAsia="Times New Roman" w:hAnsi="Open Sans" w:cs="Open Sans"/>
          <w:b/>
          <w:bCs/>
          <w:color w:val="283C46"/>
        </w:rPr>
      </w:pPr>
    </w:p>
    <w:p w14:paraId="3A93E4EE" w14:textId="2F07989E"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Date of Policy:</w:t>
      </w:r>
      <w:r w:rsidR="006C2869" w:rsidRPr="00CF5DE7">
        <w:rPr>
          <w:rFonts w:ascii="Open Sans" w:eastAsia="Times New Roman" w:hAnsi="Open Sans" w:cs="Open Sans"/>
          <w:b/>
          <w:bCs/>
          <w:color w:val="283C46"/>
        </w:rPr>
        <w:t xml:space="preserve"> </w:t>
      </w:r>
      <w:r w:rsidR="00896B24">
        <w:rPr>
          <w:rFonts w:ascii="Open Sans" w:eastAsia="Times New Roman" w:hAnsi="Open Sans" w:cs="Open Sans"/>
          <w:bCs/>
          <w:color w:val="283C46"/>
        </w:rPr>
        <w:t>October 2018</w:t>
      </w:r>
      <w:r w:rsidRPr="00CF5DE7">
        <w:rPr>
          <w:rFonts w:ascii="Open Sans" w:eastAsia="Times New Roman" w:hAnsi="Open Sans" w:cs="Open Sans"/>
          <w:b/>
          <w:bCs/>
          <w:color w:val="283C46"/>
        </w:rPr>
        <w:br/>
      </w:r>
    </w:p>
    <w:p w14:paraId="56C2541A" w14:textId="447A2D1D"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Review Date*: </w:t>
      </w:r>
      <w:r w:rsidR="00896B24">
        <w:rPr>
          <w:rFonts w:ascii="Open Sans" w:eastAsia="Times New Roman" w:hAnsi="Open Sans" w:cs="Open Sans"/>
          <w:color w:val="283C46"/>
        </w:rPr>
        <w:t>October 2019</w:t>
      </w:r>
      <w:r w:rsidRPr="00CF5DE7">
        <w:rPr>
          <w:rFonts w:ascii="Open Sans" w:eastAsia="Times New Roman" w:hAnsi="Open Sans" w:cs="Open Sans"/>
          <w:color w:val="283C46"/>
        </w:rPr>
        <w:t> </w:t>
      </w:r>
      <w:r w:rsidRPr="00CF5DE7">
        <w:rPr>
          <w:rFonts w:ascii="Open Sans" w:eastAsia="Times New Roman" w:hAnsi="Open Sans" w:cs="Open Sans"/>
          <w:b/>
          <w:bCs/>
          <w:color w:val="283C46"/>
        </w:rPr>
        <w:br/>
      </w:r>
    </w:p>
    <w:p w14:paraId="78215AE2" w14:textId="3458DDCB" w:rsidR="00E373EE" w:rsidRPr="00CF5DE7" w:rsidRDefault="00E373EE" w:rsidP="00E373EE">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Coordinator (s): </w:t>
      </w:r>
      <w:r w:rsidR="00896B24">
        <w:rPr>
          <w:rFonts w:ascii="Open Sans" w:eastAsia="Times New Roman" w:hAnsi="Open Sans" w:cs="Open Sans"/>
          <w:color w:val="283C46"/>
        </w:rPr>
        <w:t>Mrs P Knox</w:t>
      </w:r>
      <w:r w:rsidRPr="00CF5DE7">
        <w:rPr>
          <w:rFonts w:ascii="Open Sans" w:eastAsia="Times New Roman" w:hAnsi="Open Sans" w:cs="Open Sans"/>
          <w:b/>
          <w:bCs/>
          <w:color w:val="283C46"/>
        </w:rPr>
        <w:br/>
      </w:r>
    </w:p>
    <w:p w14:paraId="32A89074" w14:textId="07FFCB81" w:rsidR="00896B24" w:rsidRDefault="00E373EE" w:rsidP="00E373EE">
      <w:pPr>
        <w:shd w:val="clear" w:color="auto" w:fill="FFFFFF"/>
        <w:rPr>
          <w:rFonts w:ascii="Open Sans" w:hAnsi="Open Sans" w:cs="Open Sans"/>
          <w:color w:val="2E2E2F"/>
        </w:rPr>
      </w:pPr>
      <w:r w:rsidRPr="00CF5DE7">
        <w:rPr>
          <w:rFonts w:ascii="Open Sans" w:eastAsia="Times New Roman" w:hAnsi="Open Sans" w:cs="Open Sans"/>
          <w:b/>
          <w:bCs/>
          <w:color w:val="283C46"/>
        </w:rPr>
        <w:t>Governor: </w:t>
      </w:r>
      <w:r w:rsidR="00CF5DE7" w:rsidRPr="00CF5DE7">
        <w:rPr>
          <w:rFonts w:ascii="Open Sans" w:eastAsia="Times New Roman" w:hAnsi="Open Sans" w:cs="Open Sans"/>
          <w:color w:val="283C46"/>
        </w:rPr>
        <w:t xml:space="preserve">Mrs C </w:t>
      </w:r>
      <w:r w:rsidR="002C16D3">
        <w:rPr>
          <w:rFonts w:ascii="Open Sans" w:eastAsia="Times New Roman" w:hAnsi="Open Sans" w:cs="Open Sans"/>
          <w:color w:val="283C46"/>
        </w:rPr>
        <w:t>Parr</w:t>
      </w:r>
      <w:r w:rsidRPr="00CF5DE7">
        <w:rPr>
          <w:rFonts w:ascii="Open Sans" w:eastAsia="Times New Roman" w:hAnsi="Open Sans" w:cs="Open Sans"/>
          <w:color w:val="283C46"/>
        </w:rPr>
        <w:br/>
      </w:r>
      <w:r w:rsidRPr="00CF5DE7">
        <w:rPr>
          <w:rFonts w:ascii="Open Sans" w:eastAsia="Times New Roman" w:hAnsi="Open Sans" w:cs="Open Sans"/>
          <w:color w:val="283C46"/>
        </w:rPr>
        <w:br/>
      </w:r>
      <w:r w:rsidRPr="00CF5DE7">
        <w:rPr>
          <w:rFonts w:ascii="Open Sans" w:eastAsia="Times New Roman" w:hAnsi="Open Sans" w:cs="Open Sans"/>
          <w:b/>
          <w:bCs/>
          <w:color w:val="283C46"/>
        </w:rPr>
        <w:t>* Policy Review: Every three years otherwise dictated by the FGB (Full Governing Body) or by changes in legislation.</w:t>
      </w:r>
      <w:r w:rsidRPr="00CF5DE7">
        <w:rPr>
          <w:rFonts w:ascii="Open Sans" w:eastAsia="Times New Roman" w:hAnsi="Open Sans" w:cs="Open Sans"/>
          <w:b/>
          <w:bCs/>
          <w:color w:val="283C46"/>
        </w:rPr>
        <w:br/>
      </w:r>
      <w:r w:rsidRPr="00CF5DE7">
        <w:rPr>
          <w:rFonts w:ascii="Open Sans" w:eastAsia="Times New Roman" w:hAnsi="Open Sans" w:cs="Open Sans"/>
          <w:b/>
          <w:bCs/>
          <w:color w:val="283C46"/>
        </w:rPr>
        <w:br/>
      </w:r>
    </w:p>
    <w:p w14:paraId="7B2EBA26" w14:textId="77777777" w:rsidR="00896B24" w:rsidRDefault="00896B24">
      <w:pPr>
        <w:rPr>
          <w:rFonts w:ascii="Open Sans" w:hAnsi="Open Sans" w:cs="Open Sans"/>
          <w:color w:val="2E2E2F"/>
        </w:rPr>
      </w:pPr>
      <w:r>
        <w:rPr>
          <w:rFonts w:ascii="Open Sans" w:hAnsi="Open Sans" w:cs="Open Sans"/>
          <w:color w:val="2E2E2F"/>
        </w:rPr>
        <w:br w:type="page"/>
      </w:r>
    </w:p>
    <w:bookmarkEnd w:id="0" w:displacedByCustomXml="next"/>
    <w:sdt>
      <w:sdtPr>
        <w:id w:val="227351221"/>
        <w:docPartObj>
          <w:docPartGallery w:val="Table of Contents"/>
          <w:docPartUnique/>
        </w:docPartObj>
      </w:sdtPr>
      <w:sdtEndPr>
        <w:rPr>
          <w:rFonts w:ascii="Arial" w:eastAsia="Arial" w:hAnsi="Arial" w:cs="Arial"/>
          <w:b/>
          <w:bCs/>
          <w:caps w:val="0"/>
          <w:noProof/>
          <w:color w:val="auto"/>
          <w:sz w:val="22"/>
          <w:szCs w:val="22"/>
          <w:lang w:val="en-GB" w:eastAsia="en-GB" w:bidi="en-GB"/>
        </w:rPr>
      </w:sdtEndPr>
      <w:sdtContent>
        <w:p w14:paraId="52A34D94" w14:textId="68119D26" w:rsidR="003910D0" w:rsidRDefault="003910D0">
          <w:pPr>
            <w:pStyle w:val="TOCHeading"/>
          </w:pPr>
          <w:r>
            <w:t>Table of Contents</w:t>
          </w:r>
        </w:p>
        <w:p w14:paraId="518DB439" w14:textId="09D2EADF" w:rsidR="003910D0" w:rsidRDefault="003910D0">
          <w:pPr>
            <w:pStyle w:val="TOC1"/>
            <w:tabs>
              <w:tab w:val="right" w:leader="dot" w:pos="9742"/>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27405151" w:history="1">
            <w:r w:rsidRPr="00636BD8">
              <w:rPr>
                <w:rStyle w:val="Hyperlink"/>
                <w:noProof/>
              </w:rPr>
              <w:t>Purpose of the policy</w:t>
            </w:r>
            <w:r>
              <w:rPr>
                <w:noProof/>
                <w:webHidden/>
              </w:rPr>
              <w:tab/>
            </w:r>
            <w:r>
              <w:rPr>
                <w:noProof/>
                <w:webHidden/>
              </w:rPr>
              <w:fldChar w:fldCharType="begin"/>
            </w:r>
            <w:r>
              <w:rPr>
                <w:noProof/>
                <w:webHidden/>
              </w:rPr>
              <w:instrText xml:space="preserve"> PAGEREF _Toc527405151 \h </w:instrText>
            </w:r>
            <w:r>
              <w:rPr>
                <w:noProof/>
                <w:webHidden/>
              </w:rPr>
            </w:r>
            <w:r>
              <w:rPr>
                <w:noProof/>
                <w:webHidden/>
              </w:rPr>
              <w:fldChar w:fldCharType="separate"/>
            </w:r>
            <w:r>
              <w:rPr>
                <w:noProof/>
                <w:webHidden/>
              </w:rPr>
              <w:t>3</w:t>
            </w:r>
            <w:r>
              <w:rPr>
                <w:noProof/>
                <w:webHidden/>
              </w:rPr>
              <w:fldChar w:fldCharType="end"/>
            </w:r>
          </w:hyperlink>
        </w:p>
        <w:p w14:paraId="4447C506" w14:textId="1A871372" w:rsidR="003910D0" w:rsidRDefault="003910D0">
          <w:pPr>
            <w:pStyle w:val="TOC1"/>
            <w:tabs>
              <w:tab w:val="right" w:leader="dot" w:pos="9742"/>
            </w:tabs>
            <w:rPr>
              <w:rFonts w:asciiTheme="minorHAnsi" w:eastAsiaTheme="minorEastAsia" w:hAnsiTheme="minorHAnsi" w:cstheme="minorBidi"/>
              <w:noProof/>
              <w:lang w:bidi="ar-SA"/>
            </w:rPr>
          </w:pPr>
          <w:hyperlink w:anchor="_Toc527405152" w:history="1">
            <w:r w:rsidRPr="00636BD8">
              <w:rPr>
                <w:rStyle w:val="Hyperlink"/>
                <w:noProof/>
              </w:rPr>
              <w:t>Roles and responsibilities</w:t>
            </w:r>
            <w:r>
              <w:rPr>
                <w:noProof/>
                <w:webHidden/>
              </w:rPr>
              <w:tab/>
            </w:r>
            <w:r>
              <w:rPr>
                <w:noProof/>
                <w:webHidden/>
              </w:rPr>
              <w:fldChar w:fldCharType="begin"/>
            </w:r>
            <w:r>
              <w:rPr>
                <w:noProof/>
                <w:webHidden/>
              </w:rPr>
              <w:instrText xml:space="preserve"> PAGEREF _Toc527405152 \h </w:instrText>
            </w:r>
            <w:r>
              <w:rPr>
                <w:noProof/>
                <w:webHidden/>
              </w:rPr>
            </w:r>
            <w:r>
              <w:rPr>
                <w:noProof/>
                <w:webHidden/>
              </w:rPr>
              <w:fldChar w:fldCharType="separate"/>
            </w:r>
            <w:r>
              <w:rPr>
                <w:noProof/>
                <w:webHidden/>
              </w:rPr>
              <w:t>4</w:t>
            </w:r>
            <w:r>
              <w:rPr>
                <w:noProof/>
                <w:webHidden/>
              </w:rPr>
              <w:fldChar w:fldCharType="end"/>
            </w:r>
          </w:hyperlink>
        </w:p>
        <w:p w14:paraId="105E5A9D" w14:textId="4F1A5B4B" w:rsidR="003910D0" w:rsidRDefault="003910D0">
          <w:pPr>
            <w:pStyle w:val="TOC2"/>
            <w:tabs>
              <w:tab w:val="right" w:leader="dot" w:pos="9742"/>
            </w:tabs>
            <w:rPr>
              <w:rFonts w:asciiTheme="minorHAnsi" w:eastAsiaTheme="minorEastAsia" w:hAnsiTheme="minorHAnsi" w:cstheme="minorBidi"/>
              <w:noProof/>
              <w:lang w:bidi="ar-SA"/>
            </w:rPr>
          </w:pPr>
          <w:hyperlink w:anchor="_Toc527405153" w:history="1">
            <w:r w:rsidRPr="00636BD8">
              <w:rPr>
                <w:rStyle w:val="Hyperlink"/>
                <w:noProof/>
              </w:rPr>
              <w:t>Head of centre</w:t>
            </w:r>
            <w:r>
              <w:rPr>
                <w:noProof/>
                <w:webHidden/>
              </w:rPr>
              <w:tab/>
            </w:r>
            <w:r>
              <w:rPr>
                <w:noProof/>
                <w:webHidden/>
              </w:rPr>
              <w:fldChar w:fldCharType="begin"/>
            </w:r>
            <w:r>
              <w:rPr>
                <w:noProof/>
                <w:webHidden/>
              </w:rPr>
              <w:instrText xml:space="preserve"> PAGEREF _Toc527405153 \h </w:instrText>
            </w:r>
            <w:r>
              <w:rPr>
                <w:noProof/>
                <w:webHidden/>
              </w:rPr>
            </w:r>
            <w:r>
              <w:rPr>
                <w:noProof/>
                <w:webHidden/>
              </w:rPr>
              <w:fldChar w:fldCharType="separate"/>
            </w:r>
            <w:r>
              <w:rPr>
                <w:noProof/>
                <w:webHidden/>
              </w:rPr>
              <w:t>4</w:t>
            </w:r>
            <w:r>
              <w:rPr>
                <w:noProof/>
                <w:webHidden/>
              </w:rPr>
              <w:fldChar w:fldCharType="end"/>
            </w:r>
          </w:hyperlink>
        </w:p>
        <w:p w14:paraId="0EC6EDF0" w14:textId="7A8CAB9C" w:rsidR="003910D0" w:rsidRDefault="003910D0">
          <w:pPr>
            <w:pStyle w:val="TOC2"/>
            <w:tabs>
              <w:tab w:val="right" w:leader="dot" w:pos="9742"/>
            </w:tabs>
            <w:rPr>
              <w:rFonts w:asciiTheme="minorHAnsi" w:eastAsiaTheme="minorEastAsia" w:hAnsiTheme="minorHAnsi" w:cstheme="minorBidi"/>
              <w:noProof/>
              <w:lang w:bidi="ar-SA"/>
            </w:rPr>
          </w:pPr>
          <w:hyperlink w:anchor="_Toc527405154" w:history="1">
            <w:r w:rsidRPr="00636BD8">
              <w:rPr>
                <w:rStyle w:val="Hyperlink"/>
                <w:noProof/>
              </w:rPr>
              <w:t>Special educational needs coordinator (SENCo)</w:t>
            </w:r>
            <w:r>
              <w:rPr>
                <w:noProof/>
                <w:webHidden/>
              </w:rPr>
              <w:tab/>
            </w:r>
            <w:r>
              <w:rPr>
                <w:noProof/>
                <w:webHidden/>
              </w:rPr>
              <w:fldChar w:fldCharType="begin"/>
            </w:r>
            <w:r>
              <w:rPr>
                <w:noProof/>
                <w:webHidden/>
              </w:rPr>
              <w:instrText xml:space="preserve"> PAGEREF _Toc527405154 \h </w:instrText>
            </w:r>
            <w:r>
              <w:rPr>
                <w:noProof/>
                <w:webHidden/>
              </w:rPr>
            </w:r>
            <w:r>
              <w:rPr>
                <w:noProof/>
                <w:webHidden/>
              </w:rPr>
              <w:fldChar w:fldCharType="separate"/>
            </w:r>
            <w:r>
              <w:rPr>
                <w:noProof/>
                <w:webHidden/>
              </w:rPr>
              <w:t>4</w:t>
            </w:r>
            <w:r>
              <w:rPr>
                <w:noProof/>
                <w:webHidden/>
              </w:rPr>
              <w:fldChar w:fldCharType="end"/>
            </w:r>
          </w:hyperlink>
        </w:p>
        <w:p w14:paraId="00A2CCCF" w14:textId="77F39C39" w:rsidR="003910D0" w:rsidRDefault="003910D0">
          <w:pPr>
            <w:pStyle w:val="TOC1"/>
            <w:tabs>
              <w:tab w:val="right" w:leader="dot" w:pos="9742"/>
            </w:tabs>
            <w:rPr>
              <w:rFonts w:asciiTheme="minorHAnsi" w:eastAsiaTheme="minorEastAsia" w:hAnsiTheme="minorHAnsi" w:cstheme="minorBidi"/>
              <w:noProof/>
              <w:lang w:bidi="ar-SA"/>
            </w:rPr>
          </w:pPr>
          <w:hyperlink w:anchor="_Toc527405155" w:history="1">
            <w:r w:rsidRPr="00636BD8">
              <w:rPr>
                <w:rStyle w:val="Hyperlink"/>
                <w:noProof/>
              </w:rPr>
              <w:t>External assessments</w:t>
            </w:r>
            <w:r>
              <w:rPr>
                <w:noProof/>
                <w:webHidden/>
              </w:rPr>
              <w:tab/>
            </w:r>
            <w:r>
              <w:rPr>
                <w:noProof/>
                <w:webHidden/>
              </w:rPr>
              <w:fldChar w:fldCharType="begin"/>
            </w:r>
            <w:r>
              <w:rPr>
                <w:noProof/>
                <w:webHidden/>
              </w:rPr>
              <w:instrText xml:space="preserve"> PAGEREF _Toc527405155 \h </w:instrText>
            </w:r>
            <w:r>
              <w:rPr>
                <w:noProof/>
                <w:webHidden/>
              </w:rPr>
            </w:r>
            <w:r>
              <w:rPr>
                <w:noProof/>
                <w:webHidden/>
              </w:rPr>
              <w:fldChar w:fldCharType="separate"/>
            </w:r>
            <w:r>
              <w:rPr>
                <w:noProof/>
                <w:webHidden/>
              </w:rPr>
              <w:t>5</w:t>
            </w:r>
            <w:r>
              <w:rPr>
                <w:noProof/>
                <w:webHidden/>
              </w:rPr>
              <w:fldChar w:fldCharType="end"/>
            </w:r>
          </w:hyperlink>
        </w:p>
        <w:p w14:paraId="0097D2A8" w14:textId="7FACC79E" w:rsidR="003910D0" w:rsidRDefault="003910D0">
          <w:pPr>
            <w:pStyle w:val="TOC2"/>
            <w:tabs>
              <w:tab w:val="right" w:leader="dot" w:pos="9742"/>
            </w:tabs>
            <w:rPr>
              <w:rFonts w:asciiTheme="minorHAnsi" w:eastAsiaTheme="minorEastAsia" w:hAnsiTheme="minorHAnsi" w:cstheme="minorBidi"/>
              <w:noProof/>
              <w:lang w:bidi="ar-SA"/>
            </w:rPr>
          </w:pPr>
          <w:hyperlink w:anchor="_Toc527405156" w:history="1">
            <w:r w:rsidRPr="00636BD8">
              <w:rPr>
                <w:rStyle w:val="Hyperlink"/>
                <w:noProof/>
              </w:rPr>
              <w:t>Head of centre</w:t>
            </w:r>
            <w:r>
              <w:rPr>
                <w:noProof/>
                <w:webHidden/>
              </w:rPr>
              <w:tab/>
            </w:r>
            <w:r>
              <w:rPr>
                <w:noProof/>
                <w:webHidden/>
              </w:rPr>
              <w:fldChar w:fldCharType="begin"/>
            </w:r>
            <w:r>
              <w:rPr>
                <w:noProof/>
                <w:webHidden/>
              </w:rPr>
              <w:instrText xml:space="preserve"> PAGEREF _Toc527405156 \h </w:instrText>
            </w:r>
            <w:r>
              <w:rPr>
                <w:noProof/>
                <w:webHidden/>
              </w:rPr>
            </w:r>
            <w:r>
              <w:rPr>
                <w:noProof/>
                <w:webHidden/>
              </w:rPr>
              <w:fldChar w:fldCharType="separate"/>
            </w:r>
            <w:r>
              <w:rPr>
                <w:noProof/>
                <w:webHidden/>
              </w:rPr>
              <w:t>5</w:t>
            </w:r>
            <w:r>
              <w:rPr>
                <w:noProof/>
                <w:webHidden/>
              </w:rPr>
              <w:fldChar w:fldCharType="end"/>
            </w:r>
          </w:hyperlink>
        </w:p>
        <w:p w14:paraId="5B792603" w14:textId="321E8664" w:rsidR="003910D0" w:rsidRDefault="003910D0">
          <w:pPr>
            <w:pStyle w:val="TOC2"/>
            <w:tabs>
              <w:tab w:val="right" w:leader="dot" w:pos="9742"/>
            </w:tabs>
            <w:rPr>
              <w:rFonts w:asciiTheme="minorHAnsi" w:eastAsiaTheme="minorEastAsia" w:hAnsiTheme="minorHAnsi" w:cstheme="minorBidi"/>
              <w:noProof/>
              <w:lang w:bidi="ar-SA"/>
            </w:rPr>
          </w:pPr>
          <w:hyperlink w:anchor="_Toc527405157" w:history="1">
            <w:r w:rsidRPr="00636BD8">
              <w:rPr>
                <w:rStyle w:val="Hyperlink"/>
                <w:noProof/>
              </w:rPr>
              <w:t>Special educational needs coordinator (SENCo)</w:t>
            </w:r>
            <w:r>
              <w:rPr>
                <w:noProof/>
                <w:webHidden/>
              </w:rPr>
              <w:tab/>
            </w:r>
            <w:r>
              <w:rPr>
                <w:noProof/>
                <w:webHidden/>
              </w:rPr>
              <w:fldChar w:fldCharType="begin"/>
            </w:r>
            <w:r>
              <w:rPr>
                <w:noProof/>
                <w:webHidden/>
              </w:rPr>
              <w:instrText xml:space="preserve"> PAGEREF _Toc527405157 \h </w:instrText>
            </w:r>
            <w:r>
              <w:rPr>
                <w:noProof/>
                <w:webHidden/>
              </w:rPr>
            </w:r>
            <w:r>
              <w:rPr>
                <w:noProof/>
                <w:webHidden/>
              </w:rPr>
              <w:fldChar w:fldCharType="separate"/>
            </w:r>
            <w:r>
              <w:rPr>
                <w:noProof/>
                <w:webHidden/>
              </w:rPr>
              <w:t>6</w:t>
            </w:r>
            <w:r>
              <w:rPr>
                <w:noProof/>
                <w:webHidden/>
              </w:rPr>
              <w:fldChar w:fldCharType="end"/>
            </w:r>
          </w:hyperlink>
        </w:p>
        <w:p w14:paraId="51B42228" w14:textId="1E93C8A0" w:rsidR="003910D0" w:rsidRDefault="003910D0">
          <w:pPr>
            <w:pStyle w:val="TOC2"/>
            <w:tabs>
              <w:tab w:val="right" w:leader="dot" w:pos="9742"/>
            </w:tabs>
            <w:rPr>
              <w:rFonts w:asciiTheme="minorHAnsi" w:eastAsiaTheme="minorEastAsia" w:hAnsiTheme="minorHAnsi" w:cstheme="minorBidi"/>
              <w:noProof/>
              <w:lang w:bidi="ar-SA"/>
            </w:rPr>
          </w:pPr>
          <w:hyperlink w:anchor="_Toc527405158" w:history="1">
            <w:r w:rsidRPr="00636BD8">
              <w:rPr>
                <w:rStyle w:val="Hyperlink"/>
                <w:noProof/>
              </w:rPr>
              <w:t>Teaching staff</w:t>
            </w:r>
            <w:r>
              <w:rPr>
                <w:noProof/>
                <w:webHidden/>
              </w:rPr>
              <w:tab/>
            </w:r>
            <w:r>
              <w:rPr>
                <w:noProof/>
                <w:webHidden/>
              </w:rPr>
              <w:fldChar w:fldCharType="begin"/>
            </w:r>
            <w:r>
              <w:rPr>
                <w:noProof/>
                <w:webHidden/>
              </w:rPr>
              <w:instrText xml:space="preserve"> PAGEREF _Toc527405158 \h </w:instrText>
            </w:r>
            <w:r>
              <w:rPr>
                <w:noProof/>
                <w:webHidden/>
              </w:rPr>
            </w:r>
            <w:r>
              <w:rPr>
                <w:noProof/>
                <w:webHidden/>
              </w:rPr>
              <w:fldChar w:fldCharType="separate"/>
            </w:r>
            <w:r>
              <w:rPr>
                <w:noProof/>
                <w:webHidden/>
              </w:rPr>
              <w:t>6</w:t>
            </w:r>
            <w:r>
              <w:rPr>
                <w:noProof/>
                <w:webHidden/>
              </w:rPr>
              <w:fldChar w:fldCharType="end"/>
            </w:r>
          </w:hyperlink>
        </w:p>
        <w:p w14:paraId="068F3AB1" w14:textId="4EC1A190" w:rsidR="003910D0" w:rsidRDefault="003910D0">
          <w:pPr>
            <w:pStyle w:val="TOC1"/>
            <w:tabs>
              <w:tab w:val="right" w:leader="dot" w:pos="9742"/>
            </w:tabs>
            <w:rPr>
              <w:rFonts w:asciiTheme="minorHAnsi" w:eastAsiaTheme="minorEastAsia" w:hAnsiTheme="minorHAnsi" w:cstheme="minorBidi"/>
              <w:noProof/>
              <w:lang w:bidi="ar-SA"/>
            </w:rPr>
          </w:pPr>
          <w:hyperlink w:anchor="_Toc527405159" w:history="1">
            <w:r w:rsidRPr="00636BD8">
              <w:rPr>
                <w:rStyle w:val="Hyperlink"/>
                <w:noProof/>
              </w:rPr>
              <w:t>Internal exams</w:t>
            </w:r>
            <w:r>
              <w:rPr>
                <w:noProof/>
                <w:webHidden/>
              </w:rPr>
              <w:tab/>
            </w:r>
            <w:r>
              <w:rPr>
                <w:noProof/>
                <w:webHidden/>
              </w:rPr>
              <w:fldChar w:fldCharType="begin"/>
            </w:r>
            <w:r>
              <w:rPr>
                <w:noProof/>
                <w:webHidden/>
              </w:rPr>
              <w:instrText xml:space="preserve"> PAGEREF _Toc527405159 \h </w:instrText>
            </w:r>
            <w:r>
              <w:rPr>
                <w:noProof/>
                <w:webHidden/>
              </w:rPr>
            </w:r>
            <w:r>
              <w:rPr>
                <w:noProof/>
                <w:webHidden/>
              </w:rPr>
              <w:fldChar w:fldCharType="separate"/>
            </w:r>
            <w:r>
              <w:rPr>
                <w:noProof/>
                <w:webHidden/>
              </w:rPr>
              <w:t>6</w:t>
            </w:r>
            <w:r>
              <w:rPr>
                <w:noProof/>
                <w:webHidden/>
              </w:rPr>
              <w:fldChar w:fldCharType="end"/>
            </w:r>
          </w:hyperlink>
        </w:p>
        <w:p w14:paraId="3FCB49D4" w14:textId="107AC729" w:rsidR="003910D0" w:rsidRDefault="003910D0">
          <w:pPr>
            <w:pStyle w:val="TOC2"/>
            <w:tabs>
              <w:tab w:val="right" w:leader="dot" w:pos="9742"/>
            </w:tabs>
            <w:rPr>
              <w:rFonts w:asciiTheme="minorHAnsi" w:eastAsiaTheme="minorEastAsia" w:hAnsiTheme="minorHAnsi" w:cstheme="minorBidi"/>
              <w:noProof/>
              <w:lang w:bidi="ar-SA"/>
            </w:rPr>
          </w:pPr>
          <w:hyperlink w:anchor="_Toc527405160" w:history="1">
            <w:r w:rsidRPr="00636BD8">
              <w:rPr>
                <w:rStyle w:val="Hyperlink"/>
                <w:noProof/>
              </w:rPr>
              <w:t>Special educational needs coordinator (SENCo)</w:t>
            </w:r>
            <w:r>
              <w:rPr>
                <w:noProof/>
                <w:webHidden/>
              </w:rPr>
              <w:tab/>
            </w:r>
            <w:r>
              <w:rPr>
                <w:noProof/>
                <w:webHidden/>
              </w:rPr>
              <w:fldChar w:fldCharType="begin"/>
            </w:r>
            <w:r>
              <w:rPr>
                <w:noProof/>
                <w:webHidden/>
              </w:rPr>
              <w:instrText xml:space="preserve"> PAGEREF _Toc527405160 \h </w:instrText>
            </w:r>
            <w:r>
              <w:rPr>
                <w:noProof/>
                <w:webHidden/>
              </w:rPr>
            </w:r>
            <w:r>
              <w:rPr>
                <w:noProof/>
                <w:webHidden/>
              </w:rPr>
              <w:fldChar w:fldCharType="separate"/>
            </w:r>
            <w:r>
              <w:rPr>
                <w:noProof/>
                <w:webHidden/>
              </w:rPr>
              <w:t>6</w:t>
            </w:r>
            <w:r>
              <w:rPr>
                <w:noProof/>
                <w:webHidden/>
              </w:rPr>
              <w:fldChar w:fldCharType="end"/>
            </w:r>
          </w:hyperlink>
        </w:p>
        <w:p w14:paraId="74DC2653" w14:textId="6CCE441B" w:rsidR="003910D0" w:rsidRDefault="003910D0">
          <w:pPr>
            <w:pStyle w:val="TOC2"/>
            <w:tabs>
              <w:tab w:val="right" w:leader="dot" w:pos="9742"/>
            </w:tabs>
            <w:rPr>
              <w:rFonts w:asciiTheme="minorHAnsi" w:eastAsiaTheme="minorEastAsia" w:hAnsiTheme="minorHAnsi" w:cstheme="minorBidi"/>
              <w:noProof/>
              <w:lang w:bidi="ar-SA"/>
            </w:rPr>
          </w:pPr>
          <w:hyperlink w:anchor="_Toc527405161" w:history="1">
            <w:r w:rsidRPr="00636BD8">
              <w:rPr>
                <w:rStyle w:val="Hyperlink"/>
                <w:noProof/>
              </w:rPr>
              <w:t>Exams officer</w:t>
            </w:r>
            <w:r>
              <w:rPr>
                <w:noProof/>
                <w:webHidden/>
              </w:rPr>
              <w:tab/>
            </w:r>
            <w:r>
              <w:rPr>
                <w:noProof/>
                <w:webHidden/>
              </w:rPr>
              <w:fldChar w:fldCharType="begin"/>
            </w:r>
            <w:r>
              <w:rPr>
                <w:noProof/>
                <w:webHidden/>
              </w:rPr>
              <w:instrText xml:space="preserve"> PAGEREF _Toc527405161 \h </w:instrText>
            </w:r>
            <w:r>
              <w:rPr>
                <w:noProof/>
                <w:webHidden/>
              </w:rPr>
            </w:r>
            <w:r>
              <w:rPr>
                <w:noProof/>
                <w:webHidden/>
              </w:rPr>
              <w:fldChar w:fldCharType="separate"/>
            </w:r>
            <w:r>
              <w:rPr>
                <w:noProof/>
                <w:webHidden/>
              </w:rPr>
              <w:t>6</w:t>
            </w:r>
            <w:r>
              <w:rPr>
                <w:noProof/>
                <w:webHidden/>
              </w:rPr>
              <w:fldChar w:fldCharType="end"/>
            </w:r>
          </w:hyperlink>
        </w:p>
        <w:p w14:paraId="5DE40F10" w14:textId="4017B1ED" w:rsidR="003910D0" w:rsidRDefault="003910D0">
          <w:r>
            <w:rPr>
              <w:b/>
              <w:bCs/>
              <w:noProof/>
            </w:rPr>
            <w:fldChar w:fldCharType="end"/>
          </w:r>
        </w:p>
      </w:sdtContent>
    </w:sdt>
    <w:p w14:paraId="09B97717" w14:textId="77777777" w:rsidR="003910D0" w:rsidRDefault="003910D0">
      <w:pPr>
        <w:rPr>
          <w:rFonts w:ascii="Open Sans" w:hAnsi="Open Sans"/>
          <w:b/>
          <w:bCs/>
          <w:caps/>
          <w:szCs w:val="28"/>
        </w:rPr>
      </w:pPr>
      <w:r>
        <w:br w:type="page"/>
      </w:r>
      <w:bookmarkStart w:id="1" w:name="_GoBack"/>
      <w:bookmarkEnd w:id="1"/>
    </w:p>
    <w:p w14:paraId="215D9C96" w14:textId="37747501" w:rsidR="0028395A" w:rsidRDefault="0028395A" w:rsidP="0028395A">
      <w:pPr>
        <w:pStyle w:val="Heading1"/>
      </w:pPr>
      <w:bookmarkStart w:id="2" w:name="_Toc527405151"/>
      <w:r w:rsidRPr="00B768DE">
        <w:lastRenderedPageBreak/>
        <w:t>Purpose of the policy</w:t>
      </w:r>
      <w:bookmarkEnd w:id="2"/>
    </w:p>
    <w:p w14:paraId="671879CD" w14:textId="59B17C43" w:rsidR="0028395A" w:rsidRDefault="0028395A" w:rsidP="0028395A">
      <w:pPr>
        <w:jc w:val="both"/>
        <w:rPr>
          <w:rFonts w:ascii="Open Sans" w:hAnsi="Open Sans" w:cs="Open Sans"/>
        </w:rPr>
      </w:pPr>
      <w:r w:rsidRPr="00B768DE">
        <w:rPr>
          <w:rFonts w:ascii="Open Sans" w:hAnsi="Open Sans" w:cs="Open Sans"/>
        </w:rPr>
        <w:t>This document is provided as an exams-specific supplement to the centre-wide accessibility policy/plan which details how the centre</w:t>
      </w:r>
      <w:proofErr w:type="gramStart"/>
      <w:r>
        <w:rPr>
          <w:rFonts w:ascii="Open Sans" w:hAnsi="Open Sans" w:cs="Open Sans"/>
        </w:rPr>
        <w:t xml:space="preserve">: </w:t>
      </w:r>
      <w:r w:rsidRPr="00B768DE">
        <w:rPr>
          <w:rFonts w:ascii="Open Sans" w:hAnsi="Open Sans" w:cs="Open Sans"/>
        </w:rPr>
        <w:t xml:space="preserve"> “</w:t>
      </w:r>
      <w:proofErr w:type="gramEnd"/>
      <w:r w:rsidRPr="00B768DE">
        <w:rPr>
          <w:rFonts w:ascii="Open Sans" w:hAnsi="Open Sans" w:cs="Open Sans"/>
        </w:rPr>
        <w:t xml:space="preserve">recognises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†or any legislation in a relevant jurisdiction other than England and Wales which has an equivalent purpose and effect” </w:t>
      </w:r>
    </w:p>
    <w:p w14:paraId="52D7D2B9" w14:textId="77777777" w:rsidR="0028395A" w:rsidRDefault="0028395A" w:rsidP="0028395A">
      <w:pPr>
        <w:rPr>
          <w:rFonts w:ascii="Open Sans" w:hAnsi="Open Sans" w:cs="Open Sans"/>
        </w:rPr>
      </w:pPr>
    </w:p>
    <w:p w14:paraId="31059420" w14:textId="662FD15E" w:rsidR="0028395A" w:rsidRPr="0028395A" w:rsidRDefault="0028395A" w:rsidP="0028395A">
      <w:pPr>
        <w:rPr>
          <w:rFonts w:ascii="Open Sans" w:hAnsi="Open Sans" w:cs="Open Sans"/>
          <w:i/>
        </w:rPr>
      </w:pPr>
      <w:r w:rsidRPr="0028395A">
        <w:rPr>
          <w:rFonts w:ascii="Open Sans" w:hAnsi="Open Sans" w:cs="Open Sans"/>
          <w:i/>
        </w:rPr>
        <w:t xml:space="preserve">[Quote taken directly from chapter 5.4 of the current JCQ publication General </w:t>
      </w:r>
      <w:r>
        <w:rPr>
          <w:rFonts w:ascii="Open Sans" w:hAnsi="Open Sans" w:cs="Open Sans"/>
          <w:i/>
        </w:rPr>
        <w:t>R</w:t>
      </w:r>
      <w:r w:rsidRPr="0028395A">
        <w:rPr>
          <w:rFonts w:ascii="Open Sans" w:hAnsi="Open Sans" w:cs="Open Sans"/>
          <w:i/>
        </w:rPr>
        <w:t xml:space="preserve">egulations for approved centres] </w:t>
      </w:r>
    </w:p>
    <w:p w14:paraId="11E77B52" w14:textId="77777777" w:rsidR="0028395A" w:rsidRDefault="0028395A" w:rsidP="0028395A">
      <w:pPr>
        <w:rPr>
          <w:rFonts w:ascii="Open Sans" w:hAnsi="Open Sans" w:cs="Open Sans"/>
        </w:rPr>
      </w:pPr>
    </w:p>
    <w:p w14:paraId="3E10639F" w14:textId="537FF45D" w:rsidR="0028395A" w:rsidRDefault="0028395A" w:rsidP="0028395A">
      <w:pPr>
        <w:rPr>
          <w:rFonts w:ascii="Open Sans" w:hAnsi="Open Sans" w:cs="Open Sans"/>
        </w:rPr>
      </w:pPr>
      <w:r w:rsidRPr="00B768DE">
        <w:rPr>
          <w:rFonts w:ascii="Open Sans" w:hAnsi="Open Sans" w:cs="Open Sans"/>
        </w:rPr>
        <w:t xml:space="preserve">This publication is further referred to in this policy as GR. </w:t>
      </w:r>
    </w:p>
    <w:p w14:paraId="6ECE7F3B" w14:textId="77777777" w:rsidR="0028395A" w:rsidRDefault="0028395A" w:rsidP="0028395A">
      <w:pPr>
        <w:rPr>
          <w:rFonts w:ascii="Open Sans" w:hAnsi="Open Sans" w:cs="Open Sans"/>
        </w:rPr>
      </w:pPr>
    </w:p>
    <w:p w14:paraId="15CA95FE" w14:textId="27CADF40" w:rsidR="0028395A" w:rsidRDefault="0028395A" w:rsidP="0028395A">
      <w:pPr>
        <w:jc w:val="both"/>
        <w:rPr>
          <w:rFonts w:ascii="Open Sans" w:hAnsi="Open Sans" w:cs="Open Sans"/>
        </w:rPr>
      </w:pPr>
      <w:r w:rsidRPr="00B768DE">
        <w:rPr>
          <w:rFonts w:ascii="Open Sans" w:hAnsi="Open Sans" w:cs="Open Sans"/>
        </w:rPr>
        <w:t>This policy details how the centre facilitates access to exams and assessments for disabled candidates, as defined under the terms of the Equality Act 2010, by outlining staff roles and responsibilities in relation to</w:t>
      </w:r>
      <w:r>
        <w:rPr>
          <w:rFonts w:ascii="Open Sans" w:hAnsi="Open Sans" w:cs="Open Sans"/>
        </w:rPr>
        <w:t>:</w:t>
      </w:r>
      <w:r w:rsidRPr="00B768DE">
        <w:rPr>
          <w:rFonts w:ascii="Open Sans" w:hAnsi="Open Sans" w:cs="Open Sans"/>
        </w:rPr>
        <w:t xml:space="preserve"> </w:t>
      </w:r>
    </w:p>
    <w:p w14:paraId="61DAF3E1" w14:textId="77777777" w:rsidR="0028395A" w:rsidRDefault="0028395A" w:rsidP="0028395A">
      <w:pPr>
        <w:jc w:val="both"/>
        <w:rPr>
          <w:rFonts w:ascii="Open Sans" w:hAnsi="Open Sans" w:cs="Open Sans"/>
        </w:rPr>
      </w:pPr>
    </w:p>
    <w:p w14:paraId="17E8F2D7" w14:textId="2A5725A5" w:rsidR="0028395A" w:rsidRPr="0028395A" w:rsidRDefault="0028395A" w:rsidP="0028395A">
      <w:pPr>
        <w:pStyle w:val="ListParagraph"/>
        <w:numPr>
          <w:ilvl w:val="0"/>
          <w:numId w:val="24"/>
        </w:numPr>
        <w:jc w:val="both"/>
        <w:rPr>
          <w:rFonts w:ascii="Open Sans" w:hAnsi="Open Sans" w:cs="Open Sans"/>
        </w:rPr>
      </w:pPr>
      <w:r w:rsidRPr="0028395A">
        <w:rPr>
          <w:rFonts w:ascii="Open Sans" w:hAnsi="Open Sans" w:cs="Open Sans"/>
        </w:rPr>
        <w:t xml:space="preserve">identifying the need for appropriate arrangements, reasonable adjustments and/or adaptations (referred to in this policy as ‘access arrangements’) </w:t>
      </w:r>
    </w:p>
    <w:p w14:paraId="5EB8D31B" w14:textId="3901B99E" w:rsidR="0028395A" w:rsidRPr="0028395A" w:rsidRDefault="0028395A" w:rsidP="0028395A">
      <w:pPr>
        <w:pStyle w:val="ListParagraph"/>
        <w:numPr>
          <w:ilvl w:val="0"/>
          <w:numId w:val="24"/>
        </w:numPr>
        <w:jc w:val="both"/>
        <w:rPr>
          <w:rFonts w:ascii="Open Sans" w:hAnsi="Open Sans" w:cs="Open Sans"/>
        </w:rPr>
      </w:pPr>
      <w:r w:rsidRPr="0028395A">
        <w:rPr>
          <w:rFonts w:ascii="Open Sans" w:hAnsi="Open Sans" w:cs="Open Sans"/>
        </w:rPr>
        <w:t xml:space="preserve">requesting access arrangements </w:t>
      </w:r>
    </w:p>
    <w:p w14:paraId="7387AB11" w14:textId="705A5897" w:rsidR="0028395A" w:rsidRPr="0028395A" w:rsidRDefault="0028395A" w:rsidP="0028395A">
      <w:pPr>
        <w:pStyle w:val="ListParagraph"/>
        <w:numPr>
          <w:ilvl w:val="0"/>
          <w:numId w:val="24"/>
        </w:numPr>
        <w:jc w:val="both"/>
        <w:rPr>
          <w:rFonts w:ascii="Open Sans" w:hAnsi="Open Sans" w:cs="Open Sans"/>
        </w:rPr>
      </w:pPr>
      <w:r w:rsidRPr="0028395A">
        <w:rPr>
          <w:rFonts w:ascii="Open Sans" w:hAnsi="Open Sans" w:cs="Open Sans"/>
        </w:rPr>
        <w:t xml:space="preserve">implementing access arrangements and the conduct of exams </w:t>
      </w:r>
    </w:p>
    <w:p w14:paraId="52326D2E" w14:textId="77777777" w:rsidR="0028395A" w:rsidRDefault="0028395A" w:rsidP="0028395A">
      <w:pPr>
        <w:rPr>
          <w:rFonts w:ascii="Open Sans" w:hAnsi="Open Sans" w:cs="Open Sans"/>
        </w:rPr>
      </w:pPr>
    </w:p>
    <w:p w14:paraId="36BA9979" w14:textId="55059503" w:rsidR="0028395A" w:rsidRDefault="0028395A" w:rsidP="0028395A">
      <w:pPr>
        <w:jc w:val="both"/>
        <w:rPr>
          <w:rFonts w:ascii="Open Sans" w:hAnsi="Open Sans" w:cs="Open Sans"/>
        </w:rPr>
      </w:pPr>
      <w:r w:rsidRPr="00B768DE">
        <w:rPr>
          <w:rFonts w:ascii="Open Sans" w:hAnsi="Open Sans" w:cs="Open Sans"/>
        </w:rPr>
        <w:t xml:space="preserve">The Equality Act 2010 definition of disability A definition of </w:t>
      </w:r>
      <w:r>
        <w:rPr>
          <w:rFonts w:ascii="Open Sans" w:hAnsi="Open Sans" w:cs="Open Sans"/>
        </w:rPr>
        <w:t xml:space="preserve">disability </w:t>
      </w:r>
      <w:r w:rsidRPr="00B768DE">
        <w:rPr>
          <w:rFonts w:ascii="Open Sans" w:hAnsi="Open Sans" w:cs="Open Sans"/>
        </w:rPr>
        <w:t>is provided on page 4 of the current JCQ publication Adjustments for candidates with disabilities and learning difficulties Access Arrangements and Reasonable Adjustments</w:t>
      </w:r>
    </w:p>
    <w:p w14:paraId="2DA046BD" w14:textId="77777777" w:rsidR="0028395A" w:rsidRDefault="0028395A" w:rsidP="0028395A">
      <w:pPr>
        <w:jc w:val="both"/>
        <w:rPr>
          <w:rFonts w:ascii="Open Sans" w:hAnsi="Open Sans" w:cs="Open Sans"/>
        </w:rPr>
      </w:pPr>
    </w:p>
    <w:p w14:paraId="2F9E78D2" w14:textId="14870ACD" w:rsidR="0028395A" w:rsidRDefault="0028395A" w:rsidP="0028395A">
      <w:pPr>
        <w:jc w:val="both"/>
        <w:rPr>
          <w:rFonts w:ascii="Open Sans" w:hAnsi="Open Sans" w:cs="Open Sans"/>
        </w:rPr>
      </w:pPr>
      <w:r w:rsidRPr="00B768DE">
        <w:rPr>
          <w:rFonts w:ascii="Open Sans" w:hAnsi="Open Sans" w:cs="Open Sans"/>
        </w:rPr>
        <w:t>This publication is further referred to in this policy as AA. Identifying the need for access arrangements</w:t>
      </w:r>
      <w:r>
        <w:rPr>
          <w:rFonts w:ascii="Open Sans" w:hAnsi="Open Sans" w:cs="Open Sans"/>
        </w:rPr>
        <w:t>.</w:t>
      </w:r>
    </w:p>
    <w:p w14:paraId="1BB60AF4" w14:textId="77777777" w:rsidR="0028395A" w:rsidRDefault="0028395A">
      <w:pPr>
        <w:rPr>
          <w:rFonts w:ascii="Open Sans" w:hAnsi="Open Sans" w:cs="Open Sans"/>
        </w:rPr>
      </w:pPr>
      <w:r>
        <w:rPr>
          <w:rFonts w:ascii="Open Sans" w:hAnsi="Open Sans" w:cs="Open Sans"/>
        </w:rPr>
        <w:br w:type="page"/>
      </w:r>
    </w:p>
    <w:p w14:paraId="766A7C08" w14:textId="77777777" w:rsidR="0028395A" w:rsidRDefault="0028395A" w:rsidP="0028395A">
      <w:pPr>
        <w:pStyle w:val="Heading1"/>
      </w:pPr>
      <w:bookmarkStart w:id="3" w:name="_Toc527405152"/>
      <w:r w:rsidRPr="00B768DE">
        <w:lastRenderedPageBreak/>
        <w:t>Roles and responsibilities</w:t>
      </w:r>
      <w:bookmarkEnd w:id="3"/>
      <w:r w:rsidRPr="00B768DE">
        <w:t xml:space="preserve"> </w:t>
      </w:r>
    </w:p>
    <w:p w14:paraId="6E252EC6" w14:textId="1554DECA" w:rsidR="0028395A" w:rsidRDefault="0028395A" w:rsidP="0028395A">
      <w:pPr>
        <w:pStyle w:val="Heading2"/>
      </w:pPr>
      <w:bookmarkStart w:id="4" w:name="_Toc527405153"/>
      <w:r w:rsidRPr="00B768DE">
        <w:t>Head of centre</w:t>
      </w:r>
      <w:bookmarkEnd w:id="4"/>
      <w:r w:rsidRPr="00B768DE">
        <w:t xml:space="preserve"> </w:t>
      </w:r>
    </w:p>
    <w:p w14:paraId="2380431D" w14:textId="47640346" w:rsidR="0028395A" w:rsidRPr="0028395A" w:rsidRDefault="0028395A" w:rsidP="003910D0">
      <w:pPr>
        <w:pStyle w:val="ListParagraph"/>
        <w:numPr>
          <w:ilvl w:val="0"/>
          <w:numId w:val="25"/>
        </w:numPr>
        <w:jc w:val="both"/>
        <w:rPr>
          <w:rFonts w:ascii="Open Sans" w:hAnsi="Open Sans" w:cs="Open Sans"/>
        </w:rPr>
      </w:pPr>
      <w:r w:rsidRPr="0028395A">
        <w:rPr>
          <w:rFonts w:ascii="Open Sans" w:hAnsi="Open Sans" w:cs="Open Sans"/>
        </w:rPr>
        <w:t>I</w:t>
      </w:r>
      <w:r w:rsidRPr="0028395A">
        <w:rPr>
          <w:rFonts w:ascii="Open Sans" w:hAnsi="Open Sans" w:cs="Open Sans"/>
        </w:rPr>
        <w:t xml:space="preserve">s familiar with the entire contents, refers to and directs relevant centre staff to the annually updated JCQ publications including GR and AA Senior leaders </w:t>
      </w:r>
    </w:p>
    <w:p w14:paraId="0A9B79A5" w14:textId="0D01FEAB" w:rsidR="0028395A" w:rsidRPr="0028395A" w:rsidRDefault="0028395A" w:rsidP="003910D0">
      <w:pPr>
        <w:pStyle w:val="ListParagraph"/>
        <w:numPr>
          <w:ilvl w:val="0"/>
          <w:numId w:val="25"/>
        </w:numPr>
        <w:jc w:val="both"/>
        <w:rPr>
          <w:rFonts w:ascii="Open Sans" w:hAnsi="Open Sans" w:cs="Open Sans"/>
        </w:rPr>
      </w:pPr>
      <w:r w:rsidRPr="0028395A">
        <w:rPr>
          <w:rFonts w:ascii="Open Sans" w:hAnsi="Open Sans" w:cs="Open Sans"/>
        </w:rPr>
        <w:t>I</w:t>
      </w:r>
      <w:r w:rsidRPr="0028395A">
        <w:rPr>
          <w:rFonts w:ascii="Open Sans" w:hAnsi="Open Sans" w:cs="Open Sans"/>
        </w:rPr>
        <w:t xml:space="preserve">s familiar with the entire contents of the annually updated JCQ publications including GR and AA </w:t>
      </w:r>
    </w:p>
    <w:p w14:paraId="673C6C35" w14:textId="392C81F9" w:rsidR="0028395A" w:rsidRPr="0028395A" w:rsidRDefault="0028395A" w:rsidP="003910D0">
      <w:pPr>
        <w:pStyle w:val="ListParagraph"/>
        <w:numPr>
          <w:ilvl w:val="0"/>
          <w:numId w:val="27"/>
        </w:numPr>
        <w:jc w:val="both"/>
        <w:rPr>
          <w:rFonts w:ascii="Open Sans" w:hAnsi="Open Sans" w:cs="Open Sans"/>
        </w:rPr>
      </w:pPr>
      <w:r w:rsidRPr="0028395A">
        <w:rPr>
          <w:rFonts w:ascii="Open Sans" w:hAnsi="Open Sans" w:cs="Open Sans"/>
        </w:rPr>
        <w:t xml:space="preserve">Has full knowledge and understanding of the contents, refers to and directs relevant centre staff to the annually updated JCQ publication AA </w:t>
      </w:r>
    </w:p>
    <w:p w14:paraId="14101FE6" w14:textId="2229ABD9" w:rsidR="0028395A" w:rsidRPr="0028395A" w:rsidRDefault="0028395A" w:rsidP="003910D0">
      <w:pPr>
        <w:pStyle w:val="ListParagraph"/>
        <w:numPr>
          <w:ilvl w:val="0"/>
          <w:numId w:val="27"/>
        </w:numPr>
        <w:jc w:val="both"/>
        <w:rPr>
          <w:rFonts w:ascii="Open Sans" w:hAnsi="Open Sans" w:cs="Open Sans"/>
        </w:rPr>
      </w:pPr>
      <w:r w:rsidRPr="0028395A">
        <w:rPr>
          <w:rFonts w:ascii="Open Sans" w:hAnsi="Open Sans" w:cs="Open Sans"/>
        </w:rPr>
        <w:t xml:space="preserve">Ensures the quality of the access arrangements process within the centre </w:t>
      </w:r>
    </w:p>
    <w:p w14:paraId="49A46A95" w14:textId="3A9BBB6E" w:rsidR="0028395A" w:rsidRPr="0028395A" w:rsidRDefault="0028395A" w:rsidP="003910D0">
      <w:pPr>
        <w:pStyle w:val="ListParagraph"/>
        <w:numPr>
          <w:ilvl w:val="0"/>
          <w:numId w:val="27"/>
        </w:numPr>
        <w:jc w:val="both"/>
        <w:rPr>
          <w:rFonts w:ascii="Open Sans" w:hAnsi="Open Sans" w:cs="Open Sans"/>
        </w:rPr>
      </w:pPr>
      <w:r w:rsidRPr="0028395A">
        <w:rPr>
          <w:rFonts w:ascii="Open Sans" w:hAnsi="Open Sans" w:cs="Open Sans"/>
        </w:rPr>
        <w:t xml:space="preserve">Ensures an appropriately qualified assessor(s) is appointed and that evidence of the qualification(s) of the person(s) appointed is held on file </w:t>
      </w:r>
    </w:p>
    <w:p w14:paraId="4399C087" w14:textId="6E57A4E5" w:rsidR="0028395A" w:rsidRPr="0028395A" w:rsidRDefault="0028395A" w:rsidP="003910D0">
      <w:pPr>
        <w:pStyle w:val="ListParagraph"/>
        <w:numPr>
          <w:ilvl w:val="0"/>
          <w:numId w:val="27"/>
        </w:numPr>
        <w:jc w:val="both"/>
        <w:rPr>
          <w:rFonts w:ascii="Open Sans" w:hAnsi="Open Sans" w:cs="Open Sans"/>
        </w:rPr>
      </w:pPr>
      <w:r w:rsidRPr="0028395A">
        <w:rPr>
          <w:rFonts w:ascii="Open Sans" w:hAnsi="Open Sans" w:cs="Open Sans"/>
        </w:rPr>
        <w:t xml:space="preserve">Ensures the assessment process is administered in accordance with the regulations </w:t>
      </w:r>
    </w:p>
    <w:p w14:paraId="7C7BD22E" w14:textId="4DD1A55A" w:rsidR="0028395A" w:rsidRPr="0028395A" w:rsidRDefault="0028395A" w:rsidP="003910D0">
      <w:pPr>
        <w:pStyle w:val="ListParagraph"/>
        <w:numPr>
          <w:ilvl w:val="0"/>
          <w:numId w:val="27"/>
        </w:numPr>
        <w:jc w:val="both"/>
        <w:rPr>
          <w:rFonts w:ascii="Open Sans" w:hAnsi="Open Sans" w:cs="Open Sans"/>
        </w:rPr>
      </w:pPr>
      <w:r w:rsidRPr="0028395A">
        <w:rPr>
          <w:rFonts w:ascii="Open Sans" w:hAnsi="Open Sans" w:cs="Open Sans"/>
        </w:rPr>
        <w:t xml:space="preserve">Ensures arrangements put in place for exams/assessments reflect a candidate’s normal way of working within the centre </w:t>
      </w:r>
    </w:p>
    <w:p w14:paraId="353B386E" w14:textId="77777777" w:rsidR="0028395A" w:rsidRPr="0028395A" w:rsidRDefault="0028395A" w:rsidP="003910D0">
      <w:pPr>
        <w:pStyle w:val="ListParagraph"/>
        <w:numPr>
          <w:ilvl w:val="0"/>
          <w:numId w:val="27"/>
        </w:numPr>
        <w:jc w:val="both"/>
        <w:rPr>
          <w:rFonts w:ascii="Open Sans" w:hAnsi="Open Sans" w:cs="Open Sans"/>
        </w:rPr>
      </w:pPr>
      <w:r w:rsidRPr="0028395A">
        <w:rPr>
          <w:rFonts w:ascii="Open Sans" w:hAnsi="Open Sans" w:cs="Open Sans"/>
        </w:rPr>
        <w:t xml:space="preserve">Teaching staff </w:t>
      </w:r>
    </w:p>
    <w:p w14:paraId="3BF0A868" w14:textId="2C927DB9" w:rsidR="0028395A" w:rsidRPr="0028395A" w:rsidRDefault="0028395A" w:rsidP="003910D0">
      <w:pPr>
        <w:pStyle w:val="ListParagraph"/>
        <w:numPr>
          <w:ilvl w:val="0"/>
          <w:numId w:val="27"/>
        </w:numPr>
        <w:jc w:val="both"/>
        <w:rPr>
          <w:rFonts w:ascii="Open Sans" w:hAnsi="Open Sans" w:cs="Open Sans"/>
        </w:rPr>
      </w:pPr>
      <w:r w:rsidRPr="0028395A">
        <w:rPr>
          <w:rFonts w:ascii="Open Sans" w:hAnsi="Open Sans" w:cs="Open Sans"/>
        </w:rPr>
        <w:t xml:space="preserve">Inform the </w:t>
      </w:r>
      <w:proofErr w:type="spellStart"/>
      <w:r w:rsidRPr="0028395A">
        <w:rPr>
          <w:rFonts w:ascii="Open Sans" w:hAnsi="Open Sans" w:cs="Open Sans"/>
        </w:rPr>
        <w:t>SENCo</w:t>
      </w:r>
      <w:proofErr w:type="spellEnd"/>
      <w:r w:rsidRPr="0028395A">
        <w:rPr>
          <w:rFonts w:ascii="Open Sans" w:hAnsi="Open Sans" w:cs="Open Sans"/>
        </w:rPr>
        <w:t xml:space="preserve"> of any support that might be needed by a candidate </w:t>
      </w:r>
    </w:p>
    <w:p w14:paraId="1A796C75" w14:textId="77777777" w:rsidR="0028395A" w:rsidRDefault="0028395A" w:rsidP="003910D0">
      <w:pPr>
        <w:jc w:val="both"/>
        <w:rPr>
          <w:rFonts w:ascii="Open Sans" w:hAnsi="Open Sans" w:cs="Open Sans"/>
        </w:rPr>
      </w:pPr>
    </w:p>
    <w:p w14:paraId="106E6C17" w14:textId="79A1A04A" w:rsidR="003910D0" w:rsidRDefault="0028395A" w:rsidP="003910D0">
      <w:pPr>
        <w:jc w:val="both"/>
        <w:rPr>
          <w:rFonts w:ascii="Open Sans" w:hAnsi="Open Sans" w:cs="Open Sans"/>
        </w:rPr>
      </w:pPr>
      <w:r w:rsidRPr="00B768DE">
        <w:rPr>
          <w:rFonts w:ascii="Open Sans" w:hAnsi="Open Sans" w:cs="Open Sans"/>
        </w:rPr>
        <w:t xml:space="preserve">Assessor of candidates with learning difficulties (An assessor of candidates with learning difficulties will be an appropriately qualified access arrangements </w:t>
      </w:r>
      <w:r w:rsidRPr="00B768DE">
        <w:rPr>
          <w:rFonts w:ascii="Open Sans" w:hAnsi="Open Sans" w:cs="Open Sans"/>
        </w:rPr>
        <w:t>assessor</w:t>
      </w:r>
      <w:r>
        <w:rPr>
          <w:rFonts w:ascii="Open Sans" w:hAnsi="Open Sans" w:cs="Open Sans"/>
        </w:rPr>
        <w:t xml:space="preserve"> / </w:t>
      </w:r>
      <w:r w:rsidRPr="00B768DE">
        <w:rPr>
          <w:rFonts w:ascii="Open Sans" w:hAnsi="Open Sans" w:cs="Open Sans"/>
        </w:rPr>
        <w:t>psychologist</w:t>
      </w:r>
      <w:r>
        <w:rPr>
          <w:rFonts w:ascii="Open Sans" w:hAnsi="Open Sans" w:cs="Open Sans"/>
        </w:rPr>
        <w:t xml:space="preserve"> </w:t>
      </w:r>
      <w:r w:rsidRPr="00B768DE">
        <w:rPr>
          <w:rFonts w:ascii="Open Sans" w:hAnsi="Open Sans" w:cs="Open Sans"/>
        </w:rPr>
        <w:t>/</w:t>
      </w:r>
      <w:r>
        <w:rPr>
          <w:rFonts w:ascii="Open Sans" w:hAnsi="Open Sans" w:cs="Open Sans"/>
        </w:rPr>
        <w:t xml:space="preserve"> </w:t>
      </w:r>
      <w:r w:rsidRPr="00B768DE">
        <w:rPr>
          <w:rFonts w:ascii="Open Sans" w:hAnsi="Open Sans" w:cs="Open Sans"/>
        </w:rPr>
        <w:t xml:space="preserve">specialist assessor) </w:t>
      </w:r>
      <w:r>
        <w:rPr>
          <w:rFonts w:ascii="Open Sans" w:hAnsi="Open Sans" w:cs="Open Sans"/>
        </w:rPr>
        <w:t>and will have a</w:t>
      </w:r>
      <w:r w:rsidRPr="00B768DE">
        <w:rPr>
          <w:rFonts w:ascii="Open Sans" w:hAnsi="Open Sans" w:cs="Open Sans"/>
        </w:rPr>
        <w:t xml:space="preserve"> detailed understanding of the current JCQ publication AA</w:t>
      </w:r>
      <w:r w:rsidR="003910D0">
        <w:rPr>
          <w:rFonts w:ascii="Open Sans" w:hAnsi="Open Sans" w:cs="Open Sans"/>
        </w:rPr>
        <w:t>.</w:t>
      </w:r>
    </w:p>
    <w:p w14:paraId="590A969D" w14:textId="77777777" w:rsidR="003910D0" w:rsidRDefault="003910D0" w:rsidP="0028395A">
      <w:pPr>
        <w:rPr>
          <w:rFonts w:ascii="Open Sans" w:hAnsi="Open Sans" w:cs="Open Sans"/>
        </w:rPr>
      </w:pPr>
    </w:p>
    <w:p w14:paraId="1D386604" w14:textId="0640F428" w:rsidR="0028395A" w:rsidRDefault="0028395A" w:rsidP="003910D0">
      <w:pPr>
        <w:pStyle w:val="Heading2"/>
      </w:pPr>
      <w:bookmarkStart w:id="5" w:name="_Toc527405154"/>
      <w:r w:rsidRPr="00B768DE">
        <w:t>Special educational needs coordinator (</w:t>
      </w:r>
      <w:proofErr w:type="spellStart"/>
      <w:r w:rsidRPr="00B768DE">
        <w:t>SENCo</w:t>
      </w:r>
      <w:proofErr w:type="spellEnd"/>
      <w:r w:rsidRPr="00B768DE">
        <w:t>)</w:t>
      </w:r>
      <w:bookmarkEnd w:id="5"/>
    </w:p>
    <w:p w14:paraId="17AE79CD" w14:textId="52A6D7EE"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Determines if the arrangements identified for a candidate require prior approval from the awarding body before the arrangements are put in place or if approval is centre delegated </w:t>
      </w:r>
    </w:p>
    <w:p w14:paraId="1B8378DA" w14:textId="4F966339"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Follows guidance in AA Chapter 8 to process approval applications for access arrangements for GCSE and GCE qualifications </w:t>
      </w:r>
    </w:p>
    <w:p w14:paraId="1DC012B2" w14:textId="0A34758E"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Ensures appropriate and required evidence is held on file to confirm validation responses in AAO including the completion of JCQ Form 8, where required, and a body of evidence to substantiate the candidate’s normal way of working within the centre </w:t>
      </w:r>
    </w:p>
    <w:p w14:paraId="6C9A05C9" w14:textId="7B740A00"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Maintains a file for each candidate that will include: </w:t>
      </w:r>
    </w:p>
    <w:p w14:paraId="6BDCE907" w14:textId="29197A2E"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completed JCQ/awarding body application forms and evidence forms </w:t>
      </w:r>
    </w:p>
    <w:p w14:paraId="14E498DF" w14:textId="56A2B314"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appropriate evidence to support the need for the arrangement where required </w:t>
      </w:r>
    </w:p>
    <w:p w14:paraId="20C96912" w14:textId="3BE7B3DF"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appropriate evidence to support normal way of working within the centre </w:t>
      </w:r>
    </w:p>
    <w:p w14:paraId="69D0AB02" w14:textId="7C6A38F9"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in addition, for GCSE and GCE qualifications (where approval is required), a print out of the AAO approval and a signed data protection notice (which provides candidate consent to their personal details being shared) </w:t>
      </w:r>
    </w:p>
    <w:p w14:paraId="053D52E8" w14:textId="43C6D8A2"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Presents the files when requested by a JCQ Centre Inspector Exams officer </w:t>
      </w:r>
    </w:p>
    <w:p w14:paraId="1CA24655" w14:textId="74779917" w:rsidR="0028395A" w:rsidRP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Is familiar with the entire contents of the annually updated JCQ publication GR and is aware of information contained in AA where this may be relevant to the EO role </w:t>
      </w:r>
    </w:p>
    <w:p w14:paraId="1870D943" w14:textId="2B69A03E" w:rsidR="003910D0" w:rsidRDefault="0028395A" w:rsidP="003910D0">
      <w:pPr>
        <w:pStyle w:val="ListParagraph"/>
        <w:numPr>
          <w:ilvl w:val="0"/>
          <w:numId w:val="29"/>
        </w:numPr>
        <w:jc w:val="both"/>
        <w:rPr>
          <w:rFonts w:ascii="Open Sans" w:hAnsi="Open Sans" w:cs="Open Sans"/>
        </w:rPr>
      </w:pPr>
      <w:r w:rsidRPr="003910D0">
        <w:rPr>
          <w:rFonts w:ascii="Open Sans" w:hAnsi="Open Sans" w:cs="Open Sans"/>
        </w:rPr>
        <w:t xml:space="preserve">Liaises with the </w:t>
      </w:r>
      <w:proofErr w:type="spellStart"/>
      <w:r w:rsidRPr="003910D0">
        <w:rPr>
          <w:rFonts w:ascii="Open Sans" w:hAnsi="Open Sans" w:cs="Open Sans"/>
        </w:rPr>
        <w:t>SENCo</w:t>
      </w:r>
      <w:proofErr w:type="spellEnd"/>
      <w:r w:rsidRPr="003910D0">
        <w:rPr>
          <w:rFonts w:ascii="Open Sans" w:hAnsi="Open Sans" w:cs="Open Sans"/>
        </w:rPr>
        <w:t xml:space="preserve"> to ensure a list of Access Arrangements is compiled prior to exams being seated and that AAO approval is in place where appropriate. </w:t>
      </w:r>
    </w:p>
    <w:p w14:paraId="0E3522F3" w14:textId="77777777" w:rsidR="003910D0" w:rsidRDefault="003910D0">
      <w:pPr>
        <w:rPr>
          <w:rFonts w:ascii="Open Sans" w:hAnsi="Open Sans" w:cs="Open Sans"/>
        </w:rPr>
      </w:pPr>
      <w:r>
        <w:rPr>
          <w:rFonts w:ascii="Open Sans" w:hAnsi="Open Sans" w:cs="Open Sans"/>
        </w:rPr>
        <w:br w:type="page"/>
      </w:r>
    </w:p>
    <w:p w14:paraId="3C173EE6" w14:textId="08BC8072" w:rsidR="0028395A" w:rsidRDefault="0028395A" w:rsidP="003910D0">
      <w:pPr>
        <w:pStyle w:val="Heading1"/>
      </w:pPr>
      <w:bookmarkStart w:id="6" w:name="_Toc527405155"/>
      <w:r w:rsidRPr="00B768DE">
        <w:lastRenderedPageBreak/>
        <w:t>External assessments</w:t>
      </w:r>
      <w:bookmarkEnd w:id="6"/>
      <w:r w:rsidRPr="00B768DE">
        <w:t xml:space="preserve"> </w:t>
      </w:r>
    </w:p>
    <w:p w14:paraId="62D4DD9C" w14:textId="77777777" w:rsidR="0028395A" w:rsidRDefault="0028395A" w:rsidP="003910D0">
      <w:pPr>
        <w:jc w:val="both"/>
        <w:rPr>
          <w:rFonts w:ascii="Open Sans" w:hAnsi="Open Sans" w:cs="Open Sans"/>
        </w:rPr>
      </w:pPr>
      <w:r w:rsidRPr="00B768DE">
        <w:rPr>
          <w:rFonts w:ascii="Open Sans" w:hAnsi="Open Sans" w:cs="Open Sans"/>
        </w:rPr>
        <w:t xml:space="preserve">These are assessments which are normally set and marked/examined by an awarding body which must be conducted according to awarding body instructions and/or the JCQ publication Instructions for conducting examinations (ICE). </w:t>
      </w:r>
    </w:p>
    <w:p w14:paraId="3088B20E" w14:textId="77777777" w:rsidR="003910D0" w:rsidRDefault="003910D0" w:rsidP="003910D0">
      <w:pPr>
        <w:jc w:val="both"/>
        <w:rPr>
          <w:rFonts w:ascii="Open Sans" w:hAnsi="Open Sans" w:cs="Open Sans"/>
        </w:rPr>
      </w:pPr>
    </w:p>
    <w:p w14:paraId="1B46A4A2" w14:textId="488F1DC2" w:rsidR="0028395A" w:rsidRDefault="0028395A" w:rsidP="003910D0">
      <w:pPr>
        <w:pStyle w:val="Heading2"/>
        <w:jc w:val="both"/>
      </w:pPr>
      <w:bookmarkStart w:id="7" w:name="_Toc527405156"/>
      <w:r w:rsidRPr="00B768DE">
        <w:t>Head of centre</w:t>
      </w:r>
      <w:bookmarkEnd w:id="7"/>
      <w:r w:rsidRPr="00B768DE">
        <w:t xml:space="preserve"> </w:t>
      </w:r>
    </w:p>
    <w:p w14:paraId="0026911B" w14:textId="54A49B25"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Supports the </w:t>
      </w:r>
      <w:proofErr w:type="spellStart"/>
      <w:r w:rsidRPr="003910D0">
        <w:rPr>
          <w:rFonts w:ascii="Open Sans" w:hAnsi="Open Sans" w:cs="Open Sans"/>
        </w:rPr>
        <w:t>SENCo</w:t>
      </w:r>
      <w:proofErr w:type="spellEnd"/>
      <w:r w:rsidRPr="003910D0">
        <w:rPr>
          <w:rFonts w:ascii="Open Sans" w:hAnsi="Open Sans" w:cs="Open Sans"/>
        </w:rPr>
        <w:t xml:space="preserve">, the exams officer and other relevant centre staff in ensuring appropriate arrangements, adjustments and adaptations are in place to facilitate access for disabled candidates to exams </w:t>
      </w:r>
    </w:p>
    <w:p w14:paraId="62995967" w14:textId="77777777"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Special educational needs coordinator (</w:t>
      </w:r>
      <w:proofErr w:type="spellStart"/>
      <w:r w:rsidRPr="003910D0">
        <w:rPr>
          <w:rFonts w:ascii="Open Sans" w:hAnsi="Open Sans" w:cs="Open Sans"/>
        </w:rPr>
        <w:t>SENCo</w:t>
      </w:r>
      <w:proofErr w:type="spellEnd"/>
      <w:r w:rsidRPr="003910D0">
        <w:rPr>
          <w:rFonts w:ascii="Open Sans" w:hAnsi="Open Sans" w:cs="Open Sans"/>
        </w:rPr>
        <w:t xml:space="preserve">) </w:t>
      </w:r>
    </w:p>
    <w:p w14:paraId="30079EC9" w14:textId="2A9E921B"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Ensures appropriate arrangements, adjustments and adaptations are in place to facilitate access for candidates where they are disabled within the meaning of the Equality Act (unless a temporary emergency arrangement is required at the time of an exam) </w:t>
      </w:r>
    </w:p>
    <w:p w14:paraId="2F634921" w14:textId="44107FC3"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Liaises with the exams officer (EO) regarding facilitation and invigilation of access arrangement candidates in exams </w:t>
      </w:r>
      <w:proofErr w:type="spellStart"/>
      <w:r w:rsidRPr="003910D0">
        <w:rPr>
          <w:rFonts w:ascii="Open Sans" w:hAnsi="Open Sans" w:cs="Open Sans"/>
        </w:rPr>
        <w:t>Exams</w:t>
      </w:r>
      <w:proofErr w:type="spellEnd"/>
      <w:r w:rsidRPr="003910D0">
        <w:rPr>
          <w:rFonts w:ascii="Open Sans" w:hAnsi="Open Sans" w:cs="Open Sans"/>
        </w:rPr>
        <w:t xml:space="preserve"> officer </w:t>
      </w:r>
    </w:p>
    <w:p w14:paraId="0EF9551A" w14:textId="149148AB"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Is familiar with and follows the checklist for heads of centre and examination officers – The Equality Act 2010 and conduct of examinations provided in the current ICE (page 44) </w:t>
      </w:r>
    </w:p>
    <w:p w14:paraId="0E427F52" w14:textId="279C9D28"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Ensures cover sheets, where these are required by the arrangement are completed as required by facilitators </w:t>
      </w:r>
    </w:p>
    <w:p w14:paraId="281B1B19" w14:textId="5EEBA1CB"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Ensures facilitators supporting candidates are appropriately trained and understand the rules of the </w:t>
      </w:r>
      <w:proofErr w:type="gramStart"/>
      <w:r w:rsidRPr="003910D0">
        <w:rPr>
          <w:rFonts w:ascii="Open Sans" w:hAnsi="Open Sans" w:cs="Open Sans"/>
        </w:rPr>
        <w:t>particular access</w:t>
      </w:r>
      <w:proofErr w:type="gramEnd"/>
      <w:r w:rsidRPr="003910D0">
        <w:rPr>
          <w:rFonts w:ascii="Open Sans" w:hAnsi="Open Sans" w:cs="Open Sans"/>
        </w:rPr>
        <w:t xml:space="preserve"> arrangement(s) </w:t>
      </w:r>
    </w:p>
    <w:p w14:paraId="32EB4B4D" w14:textId="0EEE8F04"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Liaises with the </w:t>
      </w:r>
      <w:proofErr w:type="spellStart"/>
      <w:r w:rsidRPr="003910D0">
        <w:rPr>
          <w:rFonts w:ascii="Open Sans" w:hAnsi="Open Sans" w:cs="Open Sans"/>
        </w:rPr>
        <w:t>SENCo</w:t>
      </w:r>
      <w:proofErr w:type="spellEnd"/>
      <w:r w:rsidRPr="003910D0">
        <w:rPr>
          <w:rFonts w:ascii="Open Sans" w:hAnsi="Open Sans" w:cs="Open Sans"/>
        </w:rPr>
        <w:t xml:space="preserve"> regarding rooming of access arrangement candidates </w:t>
      </w:r>
    </w:p>
    <w:p w14:paraId="07B48BD0" w14:textId="0EF2ADC7"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Makes modifications that are permitted by the centre (a question paper copied onto coloured paper, an A4 to A3 enlarged paper or a paper printed on single sheets) that may be required and, where approved, opens the exam question paper packet in the secure room no earlier than 60 minutes prior to the published start time of the exam Other relevant centre staff </w:t>
      </w:r>
    </w:p>
    <w:p w14:paraId="34645EF0" w14:textId="05A9DA31"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Support the </w:t>
      </w:r>
      <w:proofErr w:type="spellStart"/>
      <w:proofErr w:type="gramStart"/>
      <w:r w:rsidRPr="003910D0">
        <w:rPr>
          <w:rFonts w:ascii="Open Sans" w:hAnsi="Open Sans" w:cs="Open Sans"/>
        </w:rPr>
        <w:t>SENCo</w:t>
      </w:r>
      <w:proofErr w:type="spellEnd"/>
      <w:r w:rsidRPr="003910D0">
        <w:rPr>
          <w:rFonts w:ascii="Open Sans" w:hAnsi="Open Sans" w:cs="Open Sans"/>
        </w:rPr>
        <w:t xml:space="preserve">  and</w:t>
      </w:r>
      <w:proofErr w:type="gramEnd"/>
      <w:r w:rsidRPr="003910D0">
        <w:rPr>
          <w:rFonts w:ascii="Open Sans" w:hAnsi="Open Sans" w:cs="Open Sans"/>
        </w:rPr>
        <w:t xml:space="preserve"> the exams officer to ensure appropriate arrangements, adjustments and adaptations are in place to facilitate access for disabled candidates to exams Internal assessments These are non-examination assessments (NEA) which are normally set by a centre/awarding body, marked and internally verified by the centre and moderated by the awarding body. </w:t>
      </w:r>
    </w:p>
    <w:p w14:paraId="26A90463" w14:textId="77777777" w:rsidR="003910D0" w:rsidRDefault="003910D0" w:rsidP="0028395A">
      <w:pPr>
        <w:rPr>
          <w:rFonts w:ascii="Open Sans" w:hAnsi="Open Sans" w:cs="Open Sans"/>
        </w:rPr>
      </w:pPr>
    </w:p>
    <w:p w14:paraId="2CF97D3C" w14:textId="77777777" w:rsidR="003910D0" w:rsidRPr="003910D0" w:rsidRDefault="0028395A" w:rsidP="0028395A">
      <w:pPr>
        <w:rPr>
          <w:rFonts w:ascii="Open Sans" w:hAnsi="Open Sans" w:cs="Open Sans"/>
          <w:i/>
        </w:rPr>
      </w:pPr>
      <w:r w:rsidRPr="003910D0">
        <w:rPr>
          <w:rFonts w:ascii="Open Sans" w:hAnsi="Open Sans" w:cs="Open Sans"/>
          <w:i/>
        </w:rPr>
        <w:t xml:space="preserve">“Externally marked and/or externally set practical examinations taken at different times across centres are classified as ‘NEA’.” </w:t>
      </w:r>
    </w:p>
    <w:p w14:paraId="745E3C8E" w14:textId="77777777" w:rsidR="003910D0" w:rsidRDefault="003910D0" w:rsidP="0028395A">
      <w:pPr>
        <w:rPr>
          <w:rFonts w:ascii="Open Sans" w:hAnsi="Open Sans" w:cs="Open Sans"/>
        </w:rPr>
      </w:pPr>
    </w:p>
    <w:p w14:paraId="099AF5C2" w14:textId="70A80173" w:rsidR="003910D0" w:rsidRDefault="0028395A" w:rsidP="0028395A">
      <w:pPr>
        <w:rPr>
          <w:rFonts w:ascii="Open Sans" w:hAnsi="Open Sans" w:cs="Open Sans"/>
          <w:i/>
        </w:rPr>
      </w:pPr>
      <w:r w:rsidRPr="003910D0">
        <w:rPr>
          <w:rFonts w:ascii="Open Sans" w:hAnsi="Open Sans" w:cs="Open Sans"/>
          <w:i/>
        </w:rPr>
        <w:t xml:space="preserve">[Quote taken from the JCQ publication Instructions for conducting non-examination assessments – Foreword, page 3] </w:t>
      </w:r>
    </w:p>
    <w:p w14:paraId="784C7C17" w14:textId="77777777" w:rsidR="003910D0" w:rsidRDefault="003910D0">
      <w:pPr>
        <w:rPr>
          <w:rFonts w:ascii="Open Sans" w:hAnsi="Open Sans" w:cs="Open Sans"/>
          <w:i/>
        </w:rPr>
      </w:pPr>
      <w:r>
        <w:rPr>
          <w:rFonts w:ascii="Open Sans" w:hAnsi="Open Sans" w:cs="Open Sans"/>
          <w:i/>
        </w:rPr>
        <w:br w:type="page"/>
      </w:r>
    </w:p>
    <w:p w14:paraId="1BDFB824" w14:textId="77777777" w:rsidR="0028395A" w:rsidRPr="003910D0" w:rsidRDefault="0028395A" w:rsidP="0028395A">
      <w:pPr>
        <w:rPr>
          <w:rFonts w:ascii="Open Sans" w:hAnsi="Open Sans" w:cs="Open Sans"/>
          <w:i/>
        </w:rPr>
      </w:pPr>
    </w:p>
    <w:p w14:paraId="18D2BB6B" w14:textId="77777777" w:rsidR="0028395A" w:rsidRDefault="0028395A" w:rsidP="0028395A">
      <w:pPr>
        <w:rPr>
          <w:rFonts w:ascii="Open Sans" w:hAnsi="Open Sans" w:cs="Open Sans"/>
        </w:rPr>
      </w:pPr>
    </w:p>
    <w:p w14:paraId="676CA43A" w14:textId="77777777" w:rsidR="0028395A" w:rsidRDefault="0028395A" w:rsidP="003910D0">
      <w:pPr>
        <w:pStyle w:val="Heading2"/>
      </w:pPr>
      <w:bookmarkStart w:id="8" w:name="_Toc527405157"/>
      <w:r w:rsidRPr="00B768DE">
        <w:t>Special educational needs coordinator (</w:t>
      </w:r>
      <w:proofErr w:type="spellStart"/>
      <w:r w:rsidRPr="00B768DE">
        <w:t>SENCo</w:t>
      </w:r>
      <w:proofErr w:type="spellEnd"/>
      <w:r w:rsidRPr="00B768DE">
        <w:t>)</w:t>
      </w:r>
      <w:bookmarkEnd w:id="8"/>
    </w:p>
    <w:p w14:paraId="4DE5334A" w14:textId="32D6E4D5"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Liaises with teaching staff to implement appropriate access arrangements for candidates </w:t>
      </w:r>
    </w:p>
    <w:p w14:paraId="6CED7F23" w14:textId="3EDB9C5C"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Ensures centre-delegated and awarding body approved arrangements are in place prior to a candidate taking his/her first formal supervised assessment </w:t>
      </w:r>
    </w:p>
    <w:p w14:paraId="6E335913" w14:textId="25AEDBA6"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Ensures candidates are aware of the access arrangements that are in place for their assessments </w:t>
      </w:r>
    </w:p>
    <w:p w14:paraId="42ED1561" w14:textId="77777777" w:rsidR="0028395A" w:rsidRDefault="0028395A" w:rsidP="0028395A">
      <w:pPr>
        <w:rPr>
          <w:rFonts w:ascii="Open Sans" w:hAnsi="Open Sans" w:cs="Open Sans"/>
        </w:rPr>
      </w:pPr>
    </w:p>
    <w:p w14:paraId="1C59FE3C" w14:textId="77777777" w:rsidR="0028395A" w:rsidRDefault="0028395A" w:rsidP="003910D0">
      <w:pPr>
        <w:pStyle w:val="Heading2"/>
      </w:pPr>
      <w:bookmarkStart w:id="9" w:name="_Toc527405158"/>
      <w:r w:rsidRPr="00B768DE">
        <w:t>Teaching staff</w:t>
      </w:r>
      <w:bookmarkEnd w:id="9"/>
      <w:r w:rsidRPr="00B768DE">
        <w:t xml:space="preserve"> </w:t>
      </w:r>
    </w:p>
    <w:p w14:paraId="437B0F06" w14:textId="77777777" w:rsidR="0028395A" w:rsidRDefault="0028395A" w:rsidP="0028395A">
      <w:pPr>
        <w:rPr>
          <w:rFonts w:ascii="Open Sans" w:hAnsi="Open Sans" w:cs="Open Sans"/>
        </w:rPr>
      </w:pPr>
      <w:r w:rsidRPr="00B768DE">
        <w:rPr>
          <w:rFonts w:ascii="Open Sans" w:hAnsi="Open Sans" w:cs="Open Sans"/>
        </w:rPr>
        <w:sym w:font="Symbol" w:char="F0B7"/>
      </w:r>
      <w:r w:rsidRPr="00B768DE">
        <w:rPr>
          <w:rFonts w:ascii="Open Sans" w:hAnsi="Open Sans" w:cs="Open Sans"/>
        </w:rPr>
        <w:t xml:space="preserve"> Support the </w:t>
      </w:r>
      <w:proofErr w:type="spellStart"/>
      <w:r w:rsidRPr="00B768DE">
        <w:rPr>
          <w:rFonts w:ascii="Open Sans" w:hAnsi="Open Sans" w:cs="Open Sans"/>
        </w:rPr>
        <w:t>SENCo</w:t>
      </w:r>
      <w:proofErr w:type="spellEnd"/>
      <w:r w:rsidRPr="00B768DE">
        <w:rPr>
          <w:rFonts w:ascii="Open Sans" w:hAnsi="Open Sans" w:cs="Open Sans"/>
        </w:rPr>
        <w:t xml:space="preserve"> in implementing appropriate access arrangements for candidates </w:t>
      </w:r>
    </w:p>
    <w:p w14:paraId="62FC411A" w14:textId="77777777" w:rsidR="0028395A" w:rsidRDefault="0028395A" w:rsidP="0028395A">
      <w:pPr>
        <w:rPr>
          <w:rFonts w:ascii="Open Sans" w:hAnsi="Open Sans" w:cs="Open Sans"/>
        </w:rPr>
      </w:pPr>
    </w:p>
    <w:p w14:paraId="025A802E" w14:textId="77777777" w:rsidR="0028395A" w:rsidRDefault="0028395A" w:rsidP="003910D0">
      <w:pPr>
        <w:pStyle w:val="Heading1"/>
      </w:pPr>
      <w:bookmarkStart w:id="10" w:name="_Toc527405159"/>
      <w:r w:rsidRPr="00B768DE">
        <w:t>Internal exams</w:t>
      </w:r>
      <w:bookmarkEnd w:id="10"/>
      <w:r w:rsidRPr="00B768DE">
        <w:t xml:space="preserve"> </w:t>
      </w:r>
    </w:p>
    <w:p w14:paraId="64F4103E" w14:textId="15558FD2" w:rsidR="0028395A" w:rsidRDefault="0028395A" w:rsidP="0028395A">
      <w:pPr>
        <w:rPr>
          <w:rFonts w:ascii="Open Sans" w:hAnsi="Open Sans" w:cs="Open Sans"/>
        </w:rPr>
      </w:pPr>
      <w:r w:rsidRPr="00B768DE">
        <w:rPr>
          <w:rFonts w:ascii="Open Sans" w:hAnsi="Open Sans" w:cs="Open Sans"/>
        </w:rPr>
        <w:t xml:space="preserve">These are exams or tests which are set and marked within the centre; normally a pre-cursor to external assessments. </w:t>
      </w:r>
    </w:p>
    <w:p w14:paraId="0E7B15ED" w14:textId="77777777" w:rsidR="003910D0" w:rsidRDefault="003910D0" w:rsidP="0028395A">
      <w:pPr>
        <w:rPr>
          <w:rFonts w:ascii="Open Sans" w:hAnsi="Open Sans" w:cs="Open Sans"/>
        </w:rPr>
      </w:pPr>
    </w:p>
    <w:p w14:paraId="022008D3" w14:textId="2304E623" w:rsidR="0028395A" w:rsidRDefault="0028395A" w:rsidP="003910D0">
      <w:pPr>
        <w:pStyle w:val="Heading2"/>
      </w:pPr>
      <w:bookmarkStart w:id="11" w:name="_Toc527405160"/>
      <w:r w:rsidRPr="00B768DE">
        <w:t>Special educational needs coordinator (</w:t>
      </w:r>
      <w:proofErr w:type="spellStart"/>
      <w:r w:rsidRPr="00B768DE">
        <w:t>SENCo</w:t>
      </w:r>
      <w:proofErr w:type="spellEnd"/>
      <w:r w:rsidRPr="00B768DE">
        <w:t>)</w:t>
      </w:r>
      <w:bookmarkEnd w:id="11"/>
      <w:r w:rsidRPr="00B768DE">
        <w:t xml:space="preserve"> </w:t>
      </w:r>
    </w:p>
    <w:p w14:paraId="0DFD99AB" w14:textId="77777777" w:rsidR="003910D0" w:rsidRDefault="003910D0" w:rsidP="0028395A">
      <w:pPr>
        <w:rPr>
          <w:rFonts w:ascii="Open Sans" w:hAnsi="Open Sans" w:cs="Open Sans"/>
        </w:rPr>
      </w:pPr>
    </w:p>
    <w:p w14:paraId="21FF3928" w14:textId="354E7AA2" w:rsidR="0028395A" w:rsidRPr="003910D0" w:rsidRDefault="0028395A" w:rsidP="003910D0">
      <w:pPr>
        <w:pStyle w:val="ListParagraph"/>
        <w:numPr>
          <w:ilvl w:val="0"/>
          <w:numId w:val="32"/>
        </w:numPr>
        <w:jc w:val="both"/>
        <w:rPr>
          <w:rFonts w:ascii="Open Sans" w:hAnsi="Open Sans" w:cs="Open Sans"/>
        </w:rPr>
      </w:pPr>
      <w:r w:rsidRPr="003910D0">
        <w:rPr>
          <w:rFonts w:ascii="Open Sans" w:hAnsi="Open Sans" w:cs="Open Sans"/>
        </w:rPr>
        <w:t xml:space="preserve">Liaises with teaching staff to implement appropriate access arrangements for candidates </w:t>
      </w:r>
    </w:p>
    <w:p w14:paraId="57407758" w14:textId="77777777" w:rsidR="0028395A" w:rsidRPr="003910D0" w:rsidRDefault="0028395A" w:rsidP="003910D0">
      <w:pPr>
        <w:pStyle w:val="ListParagraph"/>
        <w:numPr>
          <w:ilvl w:val="0"/>
          <w:numId w:val="34"/>
        </w:numPr>
        <w:jc w:val="both"/>
        <w:rPr>
          <w:rFonts w:ascii="Open Sans" w:hAnsi="Open Sans" w:cs="Open Sans"/>
        </w:rPr>
      </w:pPr>
      <w:r w:rsidRPr="003910D0">
        <w:rPr>
          <w:rFonts w:ascii="Open Sans" w:hAnsi="Open Sans" w:cs="Open Sans"/>
        </w:rPr>
        <w:t xml:space="preserve">Teaching staff </w:t>
      </w:r>
    </w:p>
    <w:p w14:paraId="5F2F4435" w14:textId="04BB7FB1" w:rsidR="0028395A" w:rsidRPr="003910D0" w:rsidRDefault="0028395A" w:rsidP="003910D0">
      <w:pPr>
        <w:pStyle w:val="ListParagraph"/>
        <w:numPr>
          <w:ilvl w:val="0"/>
          <w:numId w:val="34"/>
        </w:numPr>
        <w:jc w:val="both"/>
        <w:rPr>
          <w:rFonts w:ascii="Open Sans" w:hAnsi="Open Sans" w:cs="Open Sans"/>
        </w:rPr>
      </w:pPr>
      <w:r w:rsidRPr="003910D0">
        <w:rPr>
          <w:rFonts w:ascii="Open Sans" w:hAnsi="Open Sans" w:cs="Open Sans"/>
        </w:rPr>
        <w:t xml:space="preserve">Support the </w:t>
      </w:r>
      <w:proofErr w:type="spellStart"/>
      <w:r w:rsidRPr="003910D0">
        <w:rPr>
          <w:rFonts w:ascii="Open Sans" w:hAnsi="Open Sans" w:cs="Open Sans"/>
        </w:rPr>
        <w:t>SENCo</w:t>
      </w:r>
      <w:proofErr w:type="spellEnd"/>
      <w:r w:rsidRPr="003910D0">
        <w:rPr>
          <w:rFonts w:ascii="Open Sans" w:hAnsi="Open Sans" w:cs="Open Sans"/>
        </w:rPr>
        <w:t xml:space="preserve"> in implementing appropriate access arrangements for candidates </w:t>
      </w:r>
    </w:p>
    <w:p w14:paraId="33588BE8" w14:textId="77777777" w:rsidR="0028395A" w:rsidRDefault="0028395A" w:rsidP="0028395A">
      <w:pPr>
        <w:rPr>
          <w:rFonts w:ascii="Open Sans" w:hAnsi="Open Sans" w:cs="Open Sans"/>
        </w:rPr>
      </w:pPr>
    </w:p>
    <w:p w14:paraId="66FC1746" w14:textId="4A4B4339" w:rsidR="0028395A" w:rsidRDefault="0028395A" w:rsidP="003910D0">
      <w:pPr>
        <w:pStyle w:val="Heading2"/>
      </w:pPr>
      <w:bookmarkStart w:id="12" w:name="_Toc527405161"/>
      <w:r w:rsidRPr="00B768DE">
        <w:t>Exams officer</w:t>
      </w:r>
      <w:bookmarkEnd w:id="12"/>
      <w:r w:rsidRPr="00B768DE">
        <w:t xml:space="preserve"> </w:t>
      </w:r>
    </w:p>
    <w:p w14:paraId="445EBDCB" w14:textId="77777777" w:rsidR="003910D0" w:rsidRDefault="003910D0" w:rsidP="0028395A">
      <w:pPr>
        <w:rPr>
          <w:rFonts w:ascii="Open Sans" w:hAnsi="Open Sans" w:cs="Open Sans"/>
        </w:rPr>
      </w:pPr>
    </w:p>
    <w:p w14:paraId="7015CA05" w14:textId="3DA778FE" w:rsidR="0028395A" w:rsidRPr="003910D0" w:rsidRDefault="0028395A" w:rsidP="003910D0">
      <w:pPr>
        <w:pStyle w:val="ListParagraph"/>
        <w:numPr>
          <w:ilvl w:val="0"/>
          <w:numId w:val="34"/>
        </w:numPr>
        <w:jc w:val="both"/>
        <w:rPr>
          <w:rFonts w:ascii="Open Sans" w:hAnsi="Open Sans" w:cs="Open Sans"/>
        </w:rPr>
      </w:pPr>
      <w:r w:rsidRPr="003910D0">
        <w:rPr>
          <w:rFonts w:ascii="Open Sans" w:hAnsi="Open Sans" w:cs="Open Sans"/>
        </w:rPr>
        <w:t xml:space="preserve">Provide the </w:t>
      </w:r>
      <w:proofErr w:type="spellStart"/>
      <w:r w:rsidRPr="003910D0">
        <w:rPr>
          <w:rFonts w:ascii="Open Sans" w:hAnsi="Open Sans" w:cs="Open Sans"/>
        </w:rPr>
        <w:t>SENCo</w:t>
      </w:r>
      <w:proofErr w:type="spellEnd"/>
      <w:r w:rsidRPr="003910D0">
        <w:rPr>
          <w:rFonts w:ascii="Open Sans" w:hAnsi="Open Sans" w:cs="Open Sans"/>
        </w:rPr>
        <w:t xml:space="preserve"> with internal exam timetable to ensure arrangements are put in place when required </w:t>
      </w:r>
    </w:p>
    <w:p w14:paraId="0EF409BF" w14:textId="0E1E29E1" w:rsidR="0028395A" w:rsidRPr="003910D0" w:rsidRDefault="0028395A" w:rsidP="003910D0">
      <w:pPr>
        <w:pStyle w:val="ListParagraph"/>
        <w:numPr>
          <w:ilvl w:val="0"/>
          <w:numId w:val="34"/>
        </w:numPr>
        <w:jc w:val="both"/>
        <w:rPr>
          <w:rFonts w:ascii="Open Sans" w:hAnsi="Open Sans" w:cs="Open Sans"/>
        </w:rPr>
      </w:pPr>
      <w:r w:rsidRPr="003910D0">
        <w:rPr>
          <w:rFonts w:ascii="Open Sans" w:hAnsi="Open Sans" w:cs="Open Sans"/>
        </w:rPr>
        <w:t>Provide exam materials that may need to be modified for a candidate facilitating access.</w:t>
      </w:r>
    </w:p>
    <w:p w14:paraId="43269577" w14:textId="77777777" w:rsidR="0028395A" w:rsidRDefault="0028395A" w:rsidP="0028395A">
      <w:pPr>
        <w:rPr>
          <w:rFonts w:ascii="Open Sans" w:hAnsi="Open Sans" w:cs="Open Sans"/>
        </w:rPr>
      </w:pPr>
    </w:p>
    <w:p w14:paraId="3A40CF19" w14:textId="1D43BFE3" w:rsidR="0028395A" w:rsidRDefault="0028395A" w:rsidP="0028395A">
      <w:pPr>
        <w:rPr>
          <w:rFonts w:ascii="Open Sans" w:hAnsi="Open Sans" w:cs="Open Sans"/>
        </w:rPr>
      </w:pPr>
      <w:r w:rsidRPr="00B768DE">
        <w:rPr>
          <w:rFonts w:ascii="Open Sans" w:hAnsi="Open Sans" w:cs="Open Sans"/>
        </w:rPr>
        <w:t xml:space="preserve">The following information confirms the centre’s good practice in relation to the Equality Act 2010 and the conduct of examinations. </w:t>
      </w:r>
    </w:p>
    <w:p w14:paraId="6355B5E4" w14:textId="77777777" w:rsidR="0028395A" w:rsidRDefault="0028395A" w:rsidP="0028395A">
      <w:pPr>
        <w:rPr>
          <w:rFonts w:ascii="Open Sans" w:hAnsi="Open Sans" w:cs="Open Sans"/>
        </w:rPr>
      </w:pPr>
    </w:p>
    <w:p w14:paraId="6A2FD46D" w14:textId="096B66E3" w:rsidR="0028395A" w:rsidRDefault="0028395A" w:rsidP="0028395A">
      <w:pPr>
        <w:rPr>
          <w:rFonts w:ascii="Open Sans" w:hAnsi="Open Sans" w:cs="Open Sans"/>
        </w:rPr>
      </w:pPr>
      <w:r w:rsidRPr="00B768DE">
        <w:rPr>
          <w:rFonts w:ascii="Open Sans" w:hAnsi="Open Sans" w:cs="Open Sans"/>
        </w:rPr>
        <w:t>On a candidate by candidate basis, consideration is given to</w:t>
      </w:r>
      <w:r w:rsidR="003910D0">
        <w:rPr>
          <w:rFonts w:ascii="Open Sans" w:hAnsi="Open Sans" w:cs="Open Sans"/>
        </w:rPr>
        <w:t>:</w:t>
      </w:r>
    </w:p>
    <w:p w14:paraId="7856C4BD" w14:textId="77777777" w:rsidR="003910D0" w:rsidRDefault="003910D0" w:rsidP="0028395A">
      <w:pPr>
        <w:rPr>
          <w:rFonts w:ascii="Open Sans" w:hAnsi="Open Sans" w:cs="Open Sans"/>
        </w:rPr>
      </w:pPr>
    </w:p>
    <w:p w14:paraId="47F54951" w14:textId="3A10A305" w:rsidR="0028395A" w:rsidRPr="003910D0" w:rsidRDefault="0028395A" w:rsidP="003910D0">
      <w:pPr>
        <w:pStyle w:val="ListParagraph"/>
        <w:numPr>
          <w:ilvl w:val="0"/>
          <w:numId w:val="34"/>
        </w:numPr>
        <w:rPr>
          <w:rFonts w:ascii="Open Sans" w:hAnsi="Open Sans" w:cs="Open Sans"/>
        </w:rPr>
      </w:pPr>
      <w:r w:rsidRPr="003910D0">
        <w:rPr>
          <w:rFonts w:ascii="Open Sans" w:hAnsi="Open Sans" w:cs="Open Sans"/>
        </w:rPr>
        <w:t xml:space="preserve">adapting assessment arrangements </w:t>
      </w:r>
    </w:p>
    <w:p w14:paraId="280A7B99" w14:textId="780E2FF2" w:rsidR="0028395A" w:rsidRPr="003910D0" w:rsidRDefault="0028395A" w:rsidP="003910D0">
      <w:pPr>
        <w:pStyle w:val="ListParagraph"/>
        <w:numPr>
          <w:ilvl w:val="0"/>
          <w:numId w:val="34"/>
        </w:numPr>
        <w:rPr>
          <w:rFonts w:ascii="Open Sans" w:hAnsi="Open Sans" w:cs="Open Sans"/>
        </w:rPr>
      </w:pPr>
      <w:r w:rsidRPr="003910D0">
        <w:rPr>
          <w:rFonts w:ascii="Open Sans" w:hAnsi="Open Sans" w:cs="Open Sans"/>
        </w:rPr>
        <w:t xml:space="preserve">adapting assessment materials </w:t>
      </w:r>
    </w:p>
    <w:p w14:paraId="353467E3" w14:textId="6D1B1BB3" w:rsidR="0028395A" w:rsidRPr="003910D0" w:rsidRDefault="0028395A" w:rsidP="003910D0">
      <w:pPr>
        <w:pStyle w:val="ListParagraph"/>
        <w:numPr>
          <w:ilvl w:val="0"/>
          <w:numId w:val="34"/>
        </w:numPr>
        <w:rPr>
          <w:rFonts w:ascii="Open Sans" w:hAnsi="Open Sans" w:cs="Open Sans"/>
        </w:rPr>
      </w:pPr>
      <w:r w:rsidRPr="003910D0">
        <w:rPr>
          <w:rFonts w:ascii="Open Sans" w:hAnsi="Open Sans" w:cs="Open Sans"/>
        </w:rPr>
        <w:t xml:space="preserve">the provision of specialist equipment or adaptation of standard equipment </w:t>
      </w:r>
    </w:p>
    <w:p w14:paraId="368237FF" w14:textId="222FF18D" w:rsidR="0028395A" w:rsidRPr="003910D0" w:rsidRDefault="0028395A" w:rsidP="003910D0">
      <w:pPr>
        <w:pStyle w:val="ListParagraph"/>
        <w:numPr>
          <w:ilvl w:val="0"/>
          <w:numId w:val="34"/>
        </w:numPr>
        <w:rPr>
          <w:rFonts w:ascii="Open Sans" w:hAnsi="Open Sans" w:cs="Open Sans"/>
        </w:rPr>
      </w:pPr>
      <w:r w:rsidRPr="003910D0">
        <w:rPr>
          <w:rFonts w:ascii="Open Sans" w:hAnsi="Open Sans" w:cs="Open Sans"/>
        </w:rPr>
        <w:t>adaptation of the physical environment for access purposes</w:t>
      </w:r>
    </w:p>
    <w:p w14:paraId="7B03AF76" w14:textId="77777777" w:rsidR="00335D99" w:rsidRPr="002C16D3" w:rsidRDefault="00335D99" w:rsidP="008D460C">
      <w:pPr>
        <w:pStyle w:val="Heading1"/>
        <w:rPr>
          <w:rFonts w:cs="Open Sans"/>
          <w:szCs w:val="20"/>
        </w:rPr>
      </w:pPr>
    </w:p>
    <w:sectPr w:rsidR="00335D99" w:rsidRPr="002C16D3" w:rsidSect="00896B24">
      <w:footerReference w:type="default" r:id="rId9"/>
      <w:pgSz w:w="11906" w:h="16838"/>
      <w:pgMar w:top="1134" w:right="1077" w:bottom="1134" w:left="1077" w:header="709" w:footer="709"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305A" w14:textId="77777777" w:rsidR="00244758" w:rsidRDefault="00244758" w:rsidP="00E373EE">
      <w:r>
        <w:separator/>
      </w:r>
    </w:p>
  </w:endnote>
  <w:endnote w:type="continuationSeparator" w:id="0">
    <w:p w14:paraId="2F8D56E8" w14:textId="77777777" w:rsidR="00244758" w:rsidRDefault="00244758" w:rsidP="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12327"/>
      <w:docPartObj>
        <w:docPartGallery w:val="Page Numbers (Bottom of Page)"/>
        <w:docPartUnique/>
      </w:docPartObj>
    </w:sdtPr>
    <w:sdtEndPr>
      <w:rPr>
        <w:noProof/>
      </w:rPr>
    </w:sdtEndPr>
    <w:sdtContent>
      <w:p w14:paraId="5C7CD198" w14:textId="752DBBDE" w:rsidR="0074282F" w:rsidRDefault="00742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2990" w14:textId="77777777" w:rsidR="0074282F" w:rsidRDefault="0074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2BC2" w14:textId="77777777" w:rsidR="00244758" w:rsidRDefault="00244758" w:rsidP="00E373EE">
      <w:r>
        <w:separator/>
      </w:r>
    </w:p>
  </w:footnote>
  <w:footnote w:type="continuationSeparator" w:id="0">
    <w:p w14:paraId="75BDA5D0" w14:textId="77777777" w:rsidR="00244758" w:rsidRDefault="00244758" w:rsidP="00E3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A60"/>
    <w:multiLevelType w:val="hybridMultilevel"/>
    <w:tmpl w:val="6BC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636B8"/>
    <w:multiLevelType w:val="hybridMultilevel"/>
    <w:tmpl w:val="D792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91A1B"/>
    <w:multiLevelType w:val="multilevel"/>
    <w:tmpl w:val="494E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F5D7B"/>
    <w:multiLevelType w:val="hybridMultilevel"/>
    <w:tmpl w:val="7A2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B42E3"/>
    <w:multiLevelType w:val="hybridMultilevel"/>
    <w:tmpl w:val="182C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2382E"/>
    <w:multiLevelType w:val="multilevel"/>
    <w:tmpl w:val="199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94A44"/>
    <w:multiLevelType w:val="hybridMultilevel"/>
    <w:tmpl w:val="C42ED2AC"/>
    <w:lvl w:ilvl="0" w:tplc="C41C0AC2">
      <w:numFmt w:val="bullet"/>
      <w:lvlText w:val=""/>
      <w:lvlJc w:val="left"/>
      <w:pPr>
        <w:ind w:left="1092" w:hanging="360"/>
      </w:pPr>
      <w:rPr>
        <w:rFonts w:ascii="Symbol" w:eastAsia="Symbol" w:hAnsi="Symbol" w:cs="Symbol" w:hint="default"/>
        <w:w w:val="100"/>
        <w:sz w:val="22"/>
        <w:szCs w:val="22"/>
        <w:lang w:val="en-GB" w:eastAsia="en-GB" w:bidi="en-GB"/>
      </w:rPr>
    </w:lvl>
    <w:lvl w:ilvl="1" w:tplc="F8D21462">
      <w:numFmt w:val="bullet"/>
      <w:lvlText w:val="•"/>
      <w:lvlJc w:val="left"/>
      <w:pPr>
        <w:ind w:left="1952" w:hanging="360"/>
      </w:pPr>
      <w:rPr>
        <w:rFonts w:hint="default"/>
        <w:lang w:val="en-GB" w:eastAsia="en-GB" w:bidi="en-GB"/>
      </w:rPr>
    </w:lvl>
    <w:lvl w:ilvl="2" w:tplc="62C48CC2">
      <w:numFmt w:val="bullet"/>
      <w:lvlText w:val="•"/>
      <w:lvlJc w:val="left"/>
      <w:pPr>
        <w:ind w:left="2805" w:hanging="360"/>
      </w:pPr>
      <w:rPr>
        <w:rFonts w:hint="default"/>
        <w:lang w:val="en-GB" w:eastAsia="en-GB" w:bidi="en-GB"/>
      </w:rPr>
    </w:lvl>
    <w:lvl w:ilvl="3" w:tplc="6514076C">
      <w:numFmt w:val="bullet"/>
      <w:lvlText w:val="•"/>
      <w:lvlJc w:val="left"/>
      <w:pPr>
        <w:ind w:left="3658" w:hanging="360"/>
      </w:pPr>
      <w:rPr>
        <w:rFonts w:hint="default"/>
        <w:lang w:val="en-GB" w:eastAsia="en-GB" w:bidi="en-GB"/>
      </w:rPr>
    </w:lvl>
    <w:lvl w:ilvl="4" w:tplc="2DDA80B4">
      <w:numFmt w:val="bullet"/>
      <w:lvlText w:val="•"/>
      <w:lvlJc w:val="left"/>
      <w:pPr>
        <w:ind w:left="4511" w:hanging="360"/>
      </w:pPr>
      <w:rPr>
        <w:rFonts w:hint="default"/>
        <w:lang w:val="en-GB" w:eastAsia="en-GB" w:bidi="en-GB"/>
      </w:rPr>
    </w:lvl>
    <w:lvl w:ilvl="5" w:tplc="FF6A1D0C">
      <w:numFmt w:val="bullet"/>
      <w:lvlText w:val="•"/>
      <w:lvlJc w:val="left"/>
      <w:pPr>
        <w:ind w:left="5364" w:hanging="360"/>
      </w:pPr>
      <w:rPr>
        <w:rFonts w:hint="default"/>
        <w:lang w:val="en-GB" w:eastAsia="en-GB" w:bidi="en-GB"/>
      </w:rPr>
    </w:lvl>
    <w:lvl w:ilvl="6" w:tplc="C422FD24">
      <w:numFmt w:val="bullet"/>
      <w:lvlText w:val="•"/>
      <w:lvlJc w:val="left"/>
      <w:pPr>
        <w:ind w:left="6216" w:hanging="360"/>
      </w:pPr>
      <w:rPr>
        <w:rFonts w:hint="default"/>
        <w:lang w:val="en-GB" w:eastAsia="en-GB" w:bidi="en-GB"/>
      </w:rPr>
    </w:lvl>
    <w:lvl w:ilvl="7" w:tplc="F5EE6006">
      <w:numFmt w:val="bullet"/>
      <w:lvlText w:val="•"/>
      <w:lvlJc w:val="left"/>
      <w:pPr>
        <w:ind w:left="7069" w:hanging="360"/>
      </w:pPr>
      <w:rPr>
        <w:rFonts w:hint="default"/>
        <w:lang w:val="en-GB" w:eastAsia="en-GB" w:bidi="en-GB"/>
      </w:rPr>
    </w:lvl>
    <w:lvl w:ilvl="8" w:tplc="4B08C71A">
      <w:numFmt w:val="bullet"/>
      <w:lvlText w:val="•"/>
      <w:lvlJc w:val="left"/>
      <w:pPr>
        <w:ind w:left="7922" w:hanging="360"/>
      </w:pPr>
      <w:rPr>
        <w:rFonts w:hint="default"/>
        <w:lang w:val="en-GB" w:eastAsia="en-GB" w:bidi="en-GB"/>
      </w:rPr>
    </w:lvl>
  </w:abstractNum>
  <w:abstractNum w:abstractNumId="7" w15:restartNumberingAfterBreak="0">
    <w:nsid w:val="1BF70CAE"/>
    <w:multiLevelType w:val="hybridMultilevel"/>
    <w:tmpl w:val="30F2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C7ED8"/>
    <w:multiLevelType w:val="hybridMultilevel"/>
    <w:tmpl w:val="F6C8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A5938"/>
    <w:multiLevelType w:val="hybridMultilevel"/>
    <w:tmpl w:val="1E2C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15227"/>
    <w:multiLevelType w:val="hybridMultilevel"/>
    <w:tmpl w:val="C396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66180"/>
    <w:multiLevelType w:val="hybridMultilevel"/>
    <w:tmpl w:val="6ECC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66B2C"/>
    <w:multiLevelType w:val="hybridMultilevel"/>
    <w:tmpl w:val="7510816E"/>
    <w:lvl w:ilvl="0" w:tplc="08090001">
      <w:start w:val="1"/>
      <w:numFmt w:val="bullet"/>
      <w:lvlText w:val=""/>
      <w:lvlJc w:val="left"/>
      <w:pPr>
        <w:ind w:left="720" w:hanging="360"/>
      </w:pPr>
      <w:rPr>
        <w:rFonts w:ascii="Symbol" w:hAnsi="Symbol" w:hint="default"/>
      </w:rPr>
    </w:lvl>
    <w:lvl w:ilvl="1" w:tplc="CA2ED2A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63CAA"/>
    <w:multiLevelType w:val="hybridMultilevel"/>
    <w:tmpl w:val="0256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E451D"/>
    <w:multiLevelType w:val="hybridMultilevel"/>
    <w:tmpl w:val="55AA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47DD3"/>
    <w:multiLevelType w:val="multilevel"/>
    <w:tmpl w:val="AE7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74C78"/>
    <w:multiLevelType w:val="multilevel"/>
    <w:tmpl w:val="B51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C0BE0"/>
    <w:multiLevelType w:val="hybridMultilevel"/>
    <w:tmpl w:val="38406ED6"/>
    <w:lvl w:ilvl="0" w:tplc="70A630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CC4788"/>
    <w:multiLevelType w:val="multilevel"/>
    <w:tmpl w:val="F84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A622B"/>
    <w:multiLevelType w:val="multilevel"/>
    <w:tmpl w:val="E1200250"/>
    <w:lvl w:ilvl="0">
      <w:start w:val="1"/>
      <w:numFmt w:val="decimal"/>
      <w:lvlText w:val="%1."/>
      <w:lvlJc w:val="left"/>
      <w:pPr>
        <w:ind w:left="1024" w:hanging="361"/>
        <w:jc w:val="left"/>
      </w:pPr>
      <w:rPr>
        <w:rFonts w:ascii="Arial" w:eastAsia="Arial" w:hAnsi="Arial" w:cs="Arial" w:hint="default"/>
        <w:b/>
        <w:bCs/>
        <w:spacing w:val="-30"/>
        <w:w w:val="99"/>
        <w:sz w:val="28"/>
        <w:szCs w:val="28"/>
        <w:lang w:val="en-GB" w:eastAsia="en-GB" w:bidi="en-GB"/>
      </w:rPr>
    </w:lvl>
    <w:lvl w:ilvl="1">
      <w:start w:val="1"/>
      <w:numFmt w:val="decimal"/>
      <w:lvlText w:val="%1.%2."/>
      <w:lvlJc w:val="left"/>
      <w:pPr>
        <w:ind w:left="1797" w:hanging="613"/>
        <w:jc w:val="left"/>
      </w:pPr>
      <w:rPr>
        <w:rFonts w:ascii="Arial" w:eastAsia="Arial" w:hAnsi="Arial" w:cs="Arial" w:hint="default"/>
        <w:spacing w:val="-2"/>
        <w:w w:val="99"/>
        <w:sz w:val="22"/>
        <w:szCs w:val="22"/>
        <w:lang w:val="en-GB" w:eastAsia="en-GB" w:bidi="en-GB"/>
      </w:rPr>
    </w:lvl>
    <w:lvl w:ilvl="2">
      <w:numFmt w:val="bullet"/>
      <w:lvlText w:val=""/>
      <w:lvlJc w:val="left"/>
      <w:pPr>
        <w:ind w:left="2305" w:hanging="360"/>
      </w:pPr>
      <w:rPr>
        <w:rFonts w:ascii="Symbol" w:eastAsia="Symbol" w:hAnsi="Symbol" w:cs="Symbol" w:hint="default"/>
        <w:w w:val="100"/>
        <w:sz w:val="22"/>
        <w:szCs w:val="22"/>
        <w:lang w:val="en-GB" w:eastAsia="en-GB" w:bidi="en-GB"/>
      </w:rPr>
    </w:lvl>
    <w:lvl w:ilvl="3">
      <w:numFmt w:val="bullet"/>
      <w:lvlText w:val="•"/>
      <w:lvlJc w:val="left"/>
      <w:pPr>
        <w:ind w:left="2300" w:hanging="360"/>
      </w:pPr>
      <w:rPr>
        <w:rFonts w:hint="default"/>
        <w:lang w:val="en-GB" w:eastAsia="en-GB" w:bidi="en-GB"/>
      </w:rPr>
    </w:lvl>
    <w:lvl w:ilvl="4">
      <w:numFmt w:val="bullet"/>
      <w:lvlText w:val="•"/>
      <w:lvlJc w:val="left"/>
      <w:pPr>
        <w:ind w:left="2580" w:hanging="360"/>
      </w:pPr>
      <w:rPr>
        <w:rFonts w:hint="default"/>
        <w:lang w:val="en-GB" w:eastAsia="en-GB" w:bidi="en-GB"/>
      </w:rPr>
    </w:lvl>
    <w:lvl w:ilvl="5">
      <w:numFmt w:val="bullet"/>
      <w:lvlText w:val="•"/>
      <w:lvlJc w:val="left"/>
      <w:pPr>
        <w:ind w:left="3754" w:hanging="360"/>
      </w:pPr>
      <w:rPr>
        <w:rFonts w:hint="default"/>
        <w:lang w:val="en-GB" w:eastAsia="en-GB" w:bidi="en-GB"/>
      </w:rPr>
    </w:lvl>
    <w:lvl w:ilvl="6">
      <w:numFmt w:val="bullet"/>
      <w:lvlText w:val="•"/>
      <w:lvlJc w:val="left"/>
      <w:pPr>
        <w:ind w:left="4929" w:hanging="360"/>
      </w:pPr>
      <w:rPr>
        <w:rFonts w:hint="default"/>
        <w:lang w:val="en-GB" w:eastAsia="en-GB" w:bidi="en-GB"/>
      </w:rPr>
    </w:lvl>
    <w:lvl w:ilvl="7">
      <w:numFmt w:val="bullet"/>
      <w:lvlText w:val="•"/>
      <w:lvlJc w:val="left"/>
      <w:pPr>
        <w:ind w:left="6104" w:hanging="360"/>
      </w:pPr>
      <w:rPr>
        <w:rFonts w:hint="default"/>
        <w:lang w:val="en-GB" w:eastAsia="en-GB" w:bidi="en-GB"/>
      </w:rPr>
    </w:lvl>
    <w:lvl w:ilvl="8">
      <w:numFmt w:val="bullet"/>
      <w:lvlText w:val="•"/>
      <w:lvlJc w:val="left"/>
      <w:pPr>
        <w:ind w:left="7278" w:hanging="360"/>
      </w:pPr>
      <w:rPr>
        <w:rFonts w:hint="default"/>
        <w:lang w:val="en-GB" w:eastAsia="en-GB" w:bidi="en-GB"/>
      </w:rPr>
    </w:lvl>
  </w:abstractNum>
  <w:abstractNum w:abstractNumId="20" w15:restartNumberingAfterBreak="0">
    <w:nsid w:val="503C4C85"/>
    <w:multiLevelType w:val="hybridMultilevel"/>
    <w:tmpl w:val="AD00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F7946"/>
    <w:multiLevelType w:val="multilevel"/>
    <w:tmpl w:val="7C8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FC0895"/>
    <w:multiLevelType w:val="hybridMultilevel"/>
    <w:tmpl w:val="FC0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350A0"/>
    <w:multiLevelType w:val="hybridMultilevel"/>
    <w:tmpl w:val="9A70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541C1"/>
    <w:multiLevelType w:val="hybridMultilevel"/>
    <w:tmpl w:val="B9C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A78B0"/>
    <w:multiLevelType w:val="hybridMultilevel"/>
    <w:tmpl w:val="D5B404DE"/>
    <w:lvl w:ilvl="0" w:tplc="5A5AAF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E0428"/>
    <w:multiLevelType w:val="multilevel"/>
    <w:tmpl w:val="3D3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F48C7"/>
    <w:multiLevelType w:val="hybridMultilevel"/>
    <w:tmpl w:val="809AF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80429C"/>
    <w:multiLevelType w:val="hybridMultilevel"/>
    <w:tmpl w:val="15C6C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366958"/>
    <w:multiLevelType w:val="hybridMultilevel"/>
    <w:tmpl w:val="289C5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D64C0"/>
    <w:multiLevelType w:val="hybridMultilevel"/>
    <w:tmpl w:val="B676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0154F"/>
    <w:multiLevelType w:val="hybridMultilevel"/>
    <w:tmpl w:val="7012FA30"/>
    <w:lvl w:ilvl="0" w:tplc="C3180E9C">
      <w:start w:val="1"/>
      <w:numFmt w:val="decimal"/>
      <w:lvlText w:val="%1."/>
      <w:lvlJc w:val="left"/>
      <w:pPr>
        <w:ind w:left="1457" w:hanging="361"/>
        <w:jc w:val="left"/>
      </w:pPr>
      <w:rPr>
        <w:rFonts w:ascii="Arial" w:eastAsia="Arial" w:hAnsi="Arial" w:cs="Arial" w:hint="default"/>
        <w:spacing w:val="-8"/>
        <w:w w:val="99"/>
        <w:sz w:val="22"/>
        <w:szCs w:val="22"/>
        <w:lang w:val="en-GB" w:eastAsia="en-GB" w:bidi="en-GB"/>
      </w:rPr>
    </w:lvl>
    <w:lvl w:ilvl="1" w:tplc="CBF056A8">
      <w:numFmt w:val="bullet"/>
      <w:lvlText w:val="•"/>
      <w:lvlJc w:val="left"/>
      <w:pPr>
        <w:ind w:left="2276" w:hanging="361"/>
      </w:pPr>
      <w:rPr>
        <w:rFonts w:hint="default"/>
        <w:lang w:val="en-GB" w:eastAsia="en-GB" w:bidi="en-GB"/>
      </w:rPr>
    </w:lvl>
    <w:lvl w:ilvl="2" w:tplc="F57E7BC0">
      <w:numFmt w:val="bullet"/>
      <w:lvlText w:val="•"/>
      <w:lvlJc w:val="left"/>
      <w:pPr>
        <w:ind w:left="3093" w:hanging="361"/>
      </w:pPr>
      <w:rPr>
        <w:rFonts w:hint="default"/>
        <w:lang w:val="en-GB" w:eastAsia="en-GB" w:bidi="en-GB"/>
      </w:rPr>
    </w:lvl>
    <w:lvl w:ilvl="3" w:tplc="E1CA7FDE">
      <w:numFmt w:val="bullet"/>
      <w:lvlText w:val="•"/>
      <w:lvlJc w:val="left"/>
      <w:pPr>
        <w:ind w:left="3910" w:hanging="361"/>
      </w:pPr>
      <w:rPr>
        <w:rFonts w:hint="default"/>
        <w:lang w:val="en-GB" w:eastAsia="en-GB" w:bidi="en-GB"/>
      </w:rPr>
    </w:lvl>
    <w:lvl w:ilvl="4" w:tplc="EEE8CFBC">
      <w:numFmt w:val="bullet"/>
      <w:lvlText w:val="•"/>
      <w:lvlJc w:val="left"/>
      <w:pPr>
        <w:ind w:left="4727" w:hanging="361"/>
      </w:pPr>
      <w:rPr>
        <w:rFonts w:hint="default"/>
        <w:lang w:val="en-GB" w:eastAsia="en-GB" w:bidi="en-GB"/>
      </w:rPr>
    </w:lvl>
    <w:lvl w:ilvl="5" w:tplc="D4F41A36">
      <w:numFmt w:val="bullet"/>
      <w:lvlText w:val="•"/>
      <w:lvlJc w:val="left"/>
      <w:pPr>
        <w:ind w:left="5544" w:hanging="361"/>
      </w:pPr>
      <w:rPr>
        <w:rFonts w:hint="default"/>
        <w:lang w:val="en-GB" w:eastAsia="en-GB" w:bidi="en-GB"/>
      </w:rPr>
    </w:lvl>
    <w:lvl w:ilvl="6" w:tplc="DAD0F7B0">
      <w:numFmt w:val="bullet"/>
      <w:lvlText w:val="•"/>
      <w:lvlJc w:val="left"/>
      <w:pPr>
        <w:ind w:left="6360" w:hanging="361"/>
      </w:pPr>
      <w:rPr>
        <w:rFonts w:hint="default"/>
        <w:lang w:val="en-GB" w:eastAsia="en-GB" w:bidi="en-GB"/>
      </w:rPr>
    </w:lvl>
    <w:lvl w:ilvl="7" w:tplc="DFCC336A">
      <w:numFmt w:val="bullet"/>
      <w:lvlText w:val="•"/>
      <w:lvlJc w:val="left"/>
      <w:pPr>
        <w:ind w:left="7177" w:hanging="361"/>
      </w:pPr>
      <w:rPr>
        <w:rFonts w:hint="default"/>
        <w:lang w:val="en-GB" w:eastAsia="en-GB" w:bidi="en-GB"/>
      </w:rPr>
    </w:lvl>
    <w:lvl w:ilvl="8" w:tplc="F8546E12">
      <w:numFmt w:val="bullet"/>
      <w:lvlText w:val="•"/>
      <w:lvlJc w:val="left"/>
      <w:pPr>
        <w:ind w:left="7994" w:hanging="361"/>
      </w:pPr>
      <w:rPr>
        <w:rFonts w:hint="default"/>
        <w:lang w:val="en-GB" w:eastAsia="en-GB" w:bidi="en-GB"/>
      </w:rPr>
    </w:lvl>
  </w:abstractNum>
  <w:abstractNum w:abstractNumId="32" w15:restartNumberingAfterBreak="0">
    <w:nsid w:val="73927666"/>
    <w:multiLevelType w:val="hybridMultilevel"/>
    <w:tmpl w:val="F27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B2579"/>
    <w:multiLevelType w:val="multilevel"/>
    <w:tmpl w:val="927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A4E99"/>
    <w:multiLevelType w:val="hybridMultilevel"/>
    <w:tmpl w:val="FBB0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A13D1"/>
    <w:multiLevelType w:val="multilevel"/>
    <w:tmpl w:val="D25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6"/>
  </w:num>
  <w:num w:numId="3">
    <w:abstractNumId w:val="31"/>
  </w:num>
  <w:num w:numId="4">
    <w:abstractNumId w:val="35"/>
  </w:num>
  <w:num w:numId="5">
    <w:abstractNumId w:val="5"/>
  </w:num>
  <w:num w:numId="6">
    <w:abstractNumId w:val="15"/>
  </w:num>
  <w:num w:numId="7">
    <w:abstractNumId w:val="33"/>
  </w:num>
  <w:num w:numId="8">
    <w:abstractNumId w:val="21"/>
  </w:num>
  <w:num w:numId="9">
    <w:abstractNumId w:val="17"/>
  </w:num>
  <w:num w:numId="10">
    <w:abstractNumId w:val="3"/>
  </w:num>
  <w:num w:numId="11">
    <w:abstractNumId w:val="12"/>
  </w:num>
  <w:num w:numId="12">
    <w:abstractNumId w:val="4"/>
  </w:num>
  <w:num w:numId="13">
    <w:abstractNumId w:val="30"/>
  </w:num>
  <w:num w:numId="14">
    <w:abstractNumId w:val="25"/>
  </w:num>
  <w:num w:numId="15">
    <w:abstractNumId w:val="13"/>
  </w:num>
  <w:num w:numId="16">
    <w:abstractNumId w:val="27"/>
  </w:num>
  <w:num w:numId="17">
    <w:abstractNumId w:val="29"/>
  </w:num>
  <w:num w:numId="18">
    <w:abstractNumId w:val="26"/>
  </w:num>
  <w:num w:numId="19">
    <w:abstractNumId w:val="18"/>
  </w:num>
  <w:num w:numId="20">
    <w:abstractNumId w:val="16"/>
  </w:num>
  <w:num w:numId="21">
    <w:abstractNumId w:val="2"/>
  </w:num>
  <w:num w:numId="22">
    <w:abstractNumId w:val="23"/>
  </w:num>
  <w:num w:numId="23">
    <w:abstractNumId w:val="1"/>
  </w:num>
  <w:num w:numId="24">
    <w:abstractNumId w:val="32"/>
  </w:num>
  <w:num w:numId="25">
    <w:abstractNumId w:val="9"/>
  </w:num>
  <w:num w:numId="26">
    <w:abstractNumId w:val="34"/>
  </w:num>
  <w:num w:numId="27">
    <w:abstractNumId w:val="20"/>
  </w:num>
  <w:num w:numId="28">
    <w:abstractNumId w:val="8"/>
  </w:num>
  <w:num w:numId="29">
    <w:abstractNumId w:val="7"/>
  </w:num>
  <w:num w:numId="30">
    <w:abstractNumId w:val="24"/>
  </w:num>
  <w:num w:numId="31">
    <w:abstractNumId w:val="28"/>
  </w:num>
  <w:num w:numId="32">
    <w:abstractNumId w:val="14"/>
  </w:num>
  <w:num w:numId="33">
    <w:abstractNumId w:val="10"/>
  </w:num>
  <w:num w:numId="34">
    <w:abstractNumId w:val="22"/>
  </w:num>
  <w:num w:numId="35">
    <w:abstractNumId w:val="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99"/>
    <w:rsid w:val="000A1438"/>
    <w:rsid w:val="00201FD2"/>
    <w:rsid w:val="00244758"/>
    <w:rsid w:val="0028209C"/>
    <w:rsid w:val="0028395A"/>
    <w:rsid w:val="002B51DB"/>
    <w:rsid w:val="002C16D3"/>
    <w:rsid w:val="002F4414"/>
    <w:rsid w:val="00323A55"/>
    <w:rsid w:val="00335D99"/>
    <w:rsid w:val="003910D0"/>
    <w:rsid w:val="003912A8"/>
    <w:rsid w:val="003A536D"/>
    <w:rsid w:val="00456A26"/>
    <w:rsid w:val="004F15BD"/>
    <w:rsid w:val="005548D2"/>
    <w:rsid w:val="00585BF7"/>
    <w:rsid w:val="006C2869"/>
    <w:rsid w:val="006E053E"/>
    <w:rsid w:val="007062B3"/>
    <w:rsid w:val="00717530"/>
    <w:rsid w:val="0074282F"/>
    <w:rsid w:val="007A6015"/>
    <w:rsid w:val="008069B7"/>
    <w:rsid w:val="00870D89"/>
    <w:rsid w:val="008724EA"/>
    <w:rsid w:val="00896B24"/>
    <w:rsid w:val="008D460C"/>
    <w:rsid w:val="00A65089"/>
    <w:rsid w:val="00A93C61"/>
    <w:rsid w:val="00B91B7C"/>
    <w:rsid w:val="00BC216A"/>
    <w:rsid w:val="00BE0D15"/>
    <w:rsid w:val="00C01B37"/>
    <w:rsid w:val="00CA1B93"/>
    <w:rsid w:val="00CF5DE7"/>
    <w:rsid w:val="00D135E8"/>
    <w:rsid w:val="00D2402D"/>
    <w:rsid w:val="00D47000"/>
    <w:rsid w:val="00D8726B"/>
    <w:rsid w:val="00E373EE"/>
    <w:rsid w:val="00E82135"/>
    <w:rsid w:val="00F137EF"/>
    <w:rsid w:val="00F775EC"/>
    <w:rsid w:val="00F9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7DFD"/>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autoRedefine/>
    <w:uiPriority w:val="9"/>
    <w:qFormat/>
    <w:rsid w:val="0028395A"/>
    <w:pPr>
      <w:spacing w:after="240"/>
      <w:ind w:left="357" w:hanging="357"/>
      <w:jc w:val="both"/>
      <w:outlineLvl w:val="0"/>
    </w:pPr>
    <w:rPr>
      <w:rFonts w:ascii="Open Sans" w:hAnsi="Open Sans"/>
      <w:b/>
      <w:bCs/>
      <w:caps/>
      <w:szCs w:val="28"/>
    </w:rPr>
  </w:style>
  <w:style w:type="paragraph" w:styleId="Heading2">
    <w:name w:val="heading 2"/>
    <w:basedOn w:val="Normal"/>
    <w:next w:val="Normal"/>
    <w:link w:val="Heading2Char"/>
    <w:autoRedefine/>
    <w:uiPriority w:val="9"/>
    <w:unhideWhenUsed/>
    <w:qFormat/>
    <w:rsid w:val="0028395A"/>
    <w:pPr>
      <w:keepNext/>
      <w:keepLines/>
      <w:spacing w:before="40" w:after="24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8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EE"/>
    <w:pPr>
      <w:tabs>
        <w:tab w:val="center" w:pos="4680"/>
        <w:tab w:val="right" w:pos="9360"/>
      </w:tabs>
    </w:pPr>
  </w:style>
  <w:style w:type="character" w:customStyle="1" w:styleId="HeaderChar">
    <w:name w:val="Header Char"/>
    <w:basedOn w:val="DefaultParagraphFont"/>
    <w:link w:val="Header"/>
    <w:uiPriority w:val="99"/>
    <w:rsid w:val="00E373EE"/>
    <w:rPr>
      <w:rFonts w:ascii="Arial" w:eastAsia="Arial" w:hAnsi="Arial" w:cs="Arial"/>
      <w:lang w:val="en-GB" w:eastAsia="en-GB" w:bidi="en-GB"/>
    </w:rPr>
  </w:style>
  <w:style w:type="paragraph" w:styleId="Footer">
    <w:name w:val="footer"/>
    <w:basedOn w:val="Normal"/>
    <w:link w:val="FooterChar"/>
    <w:uiPriority w:val="99"/>
    <w:unhideWhenUsed/>
    <w:rsid w:val="00E373EE"/>
    <w:pPr>
      <w:tabs>
        <w:tab w:val="center" w:pos="4680"/>
        <w:tab w:val="right" w:pos="9360"/>
      </w:tabs>
    </w:pPr>
  </w:style>
  <w:style w:type="character" w:customStyle="1" w:styleId="FooterChar">
    <w:name w:val="Footer Char"/>
    <w:basedOn w:val="DefaultParagraphFont"/>
    <w:link w:val="Footer"/>
    <w:uiPriority w:val="99"/>
    <w:rsid w:val="00E373EE"/>
    <w:rPr>
      <w:rFonts w:ascii="Arial" w:eastAsia="Arial" w:hAnsi="Arial" w:cs="Arial"/>
      <w:lang w:val="en-GB" w:eastAsia="en-GB" w:bidi="en-GB"/>
    </w:rPr>
  </w:style>
  <w:style w:type="table" w:styleId="TableGrid">
    <w:name w:val="Table Grid"/>
    <w:basedOn w:val="TableNormal"/>
    <w:uiPriority w:val="39"/>
    <w:rsid w:val="00E373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E8"/>
    <w:rPr>
      <w:rFonts w:ascii="Segoe UI" w:eastAsia="Arial" w:hAnsi="Segoe UI" w:cs="Segoe UI"/>
      <w:sz w:val="18"/>
      <w:szCs w:val="18"/>
      <w:lang w:val="en-GB" w:eastAsia="en-GB" w:bidi="en-GB"/>
    </w:rPr>
  </w:style>
  <w:style w:type="paragraph" w:styleId="TOCHeading">
    <w:name w:val="TOC Heading"/>
    <w:basedOn w:val="Heading1"/>
    <w:next w:val="Normal"/>
    <w:uiPriority w:val="39"/>
    <w:unhideWhenUsed/>
    <w:qFormat/>
    <w:rsid w:val="00D240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customStyle="1" w:styleId="Heading1Char">
    <w:name w:val="Heading 1 Char"/>
    <w:basedOn w:val="DefaultParagraphFont"/>
    <w:link w:val="Heading1"/>
    <w:uiPriority w:val="9"/>
    <w:rsid w:val="0028395A"/>
    <w:rPr>
      <w:rFonts w:ascii="Open Sans" w:eastAsia="Arial" w:hAnsi="Open Sans" w:cs="Arial"/>
      <w:b/>
      <w:bCs/>
      <w:caps/>
      <w:szCs w:val="28"/>
      <w:lang w:val="en-GB" w:eastAsia="en-GB" w:bidi="en-GB"/>
    </w:rPr>
  </w:style>
  <w:style w:type="character" w:customStyle="1" w:styleId="Heading2Char">
    <w:name w:val="Heading 2 Char"/>
    <w:basedOn w:val="DefaultParagraphFont"/>
    <w:link w:val="Heading2"/>
    <w:uiPriority w:val="9"/>
    <w:rsid w:val="0028395A"/>
    <w:rPr>
      <w:rFonts w:ascii="Open Sans" w:eastAsiaTheme="majorEastAsia" w:hAnsi="Open Sans" w:cstheme="majorBidi"/>
      <w:b/>
      <w:szCs w:val="26"/>
      <w:lang w:val="en-GB" w:eastAsia="en-GB" w:bidi="en-GB"/>
    </w:rPr>
  </w:style>
  <w:style w:type="paragraph" w:styleId="TOC1">
    <w:name w:val="toc 1"/>
    <w:basedOn w:val="Normal"/>
    <w:next w:val="Normal"/>
    <w:autoRedefine/>
    <w:uiPriority w:val="39"/>
    <w:unhideWhenUsed/>
    <w:rsid w:val="007062B3"/>
    <w:pPr>
      <w:spacing w:after="100"/>
    </w:pPr>
  </w:style>
  <w:style w:type="paragraph" w:styleId="TOC2">
    <w:name w:val="toc 2"/>
    <w:basedOn w:val="Normal"/>
    <w:next w:val="Normal"/>
    <w:autoRedefine/>
    <w:uiPriority w:val="39"/>
    <w:unhideWhenUsed/>
    <w:rsid w:val="007062B3"/>
    <w:pPr>
      <w:spacing w:after="100"/>
      <w:ind w:left="220"/>
    </w:pPr>
  </w:style>
  <w:style w:type="character" w:styleId="Hyperlink">
    <w:name w:val="Hyperlink"/>
    <w:basedOn w:val="DefaultParagraphFont"/>
    <w:uiPriority w:val="99"/>
    <w:unhideWhenUsed/>
    <w:rsid w:val="007062B3"/>
    <w:rPr>
      <w:color w:val="0000FF" w:themeColor="hyperlink"/>
      <w:u w:val="single"/>
    </w:rPr>
  </w:style>
  <w:style w:type="paragraph" w:customStyle="1" w:styleId="Caption1">
    <w:name w:val="Caption 1"/>
    <w:basedOn w:val="Normal"/>
    <w:qFormat/>
    <w:rsid w:val="00CF5DE7"/>
    <w:pPr>
      <w:widowControl/>
      <w:autoSpaceDE/>
      <w:autoSpaceDN/>
      <w:spacing w:before="120" w:after="120"/>
    </w:pPr>
    <w:rPr>
      <w:rFonts w:eastAsia="MS Mincho" w:cs="Times New Roman"/>
      <w:i/>
      <w:color w:val="F15F22"/>
      <w:sz w:val="20"/>
      <w:szCs w:val="24"/>
      <w:lang w:val="en-US" w:eastAsia="en-US" w:bidi="ar-SA"/>
    </w:rPr>
  </w:style>
  <w:style w:type="paragraph" w:styleId="NoSpacing">
    <w:name w:val="No Spacing"/>
    <w:uiPriority w:val="1"/>
    <w:qFormat/>
    <w:rsid w:val="00896B2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9505">
      <w:bodyDiv w:val="1"/>
      <w:marLeft w:val="0"/>
      <w:marRight w:val="0"/>
      <w:marTop w:val="0"/>
      <w:marBottom w:val="0"/>
      <w:divBdr>
        <w:top w:val="none" w:sz="0" w:space="0" w:color="auto"/>
        <w:left w:val="none" w:sz="0" w:space="0" w:color="auto"/>
        <w:bottom w:val="none" w:sz="0" w:space="0" w:color="auto"/>
        <w:right w:val="none" w:sz="0" w:space="0" w:color="auto"/>
      </w:divBdr>
      <w:divsChild>
        <w:div w:id="195435632">
          <w:marLeft w:val="0"/>
          <w:marRight w:val="0"/>
          <w:marTop w:val="0"/>
          <w:marBottom w:val="0"/>
          <w:divBdr>
            <w:top w:val="none" w:sz="0" w:space="0" w:color="auto"/>
            <w:left w:val="none" w:sz="0" w:space="0" w:color="auto"/>
            <w:bottom w:val="none" w:sz="0" w:space="0" w:color="auto"/>
            <w:right w:val="none" w:sz="0" w:space="0" w:color="auto"/>
          </w:divBdr>
          <w:divsChild>
            <w:div w:id="1591892651">
              <w:marLeft w:val="0"/>
              <w:marRight w:val="0"/>
              <w:marTop w:val="0"/>
              <w:marBottom w:val="0"/>
              <w:divBdr>
                <w:top w:val="none" w:sz="0" w:space="0" w:color="auto"/>
                <w:left w:val="none" w:sz="0" w:space="0" w:color="auto"/>
                <w:bottom w:val="none" w:sz="0" w:space="0" w:color="auto"/>
                <w:right w:val="none" w:sz="0" w:space="0" w:color="auto"/>
              </w:divBdr>
            </w:div>
            <w:div w:id="1833370058">
              <w:marLeft w:val="0"/>
              <w:marRight w:val="0"/>
              <w:marTop w:val="0"/>
              <w:marBottom w:val="0"/>
              <w:divBdr>
                <w:top w:val="none" w:sz="0" w:space="0" w:color="auto"/>
                <w:left w:val="none" w:sz="0" w:space="0" w:color="auto"/>
                <w:bottom w:val="none" w:sz="0" w:space="0" w:color="auto"/>
                <w:right w:val="none" w:sz="0" w:space="0" w:color="auto"/>
              </w:divBdr>
            </w:div>
            <w:div w:id="708148706">
              <w:marLeft w:val="0"/>
              <w:marRight w:val="0"/>
              <w:marTop w:val="0"/>
              <w:marBottom w:val="0"/>
              <w:divBdr>
                <w:top w:val="none" w:sz="0" w:space="0" w:color="auto"/>
                <w:left w:val="none" w:sz="0" w:space="0" w:color="auto"/>
                <w:bottom w:val="none" w:sz="0" w:space="0" w:color="auto"/>
                <w:right w:val="none" w:sz="0" w:space="0" w:color="auto"/>
              </w:divBdr>
            </w:div>
            <w:div w:id="27724224">
              <w:marLeft w:val="0"/>
              <w:marRight w:val="0"/>
              <w:marTop w:val="0"/>
              <w:marBottom w:val="0"/>
              <w:divBdr>
                <w:top w:val="none" w:sz="0" w:space="0" w:color="auto"/>
                <w:left w:val="none" w:sz="0" w:space="0" w:color="auto"/>
                <w:bottom w:val="none" w:sz="0" w:space="0" w:color="auto"/>
                <w:right w:val="none" w:sz="0" w:space="0" w:color="auto"/>
              </w:divBdr>
            </w:div>
            <w:div w:id="676229547">
              <w:marLeft w:val="0"/>
              <w:marRight w:val="0"/>
              <w:marTop w:val="0"/>
              <w:marBottom w:val="0"/>
              <w:divBdr>
                <w:top w:val="none" w:sz="0" w:space="0" w:color="auto"/>
                <w:left w:val="none" w:sz="0" w:space="0" w:color="auto"/>
                <w:bottom w:val="none" w:sz="0" w:space="0" w:color="auto"/>
                <w:right w:val="none" w:sz="0" w:space="0" w:color="auto"/>
              </w:divBdr>
            </w:div>
            <w:div w:id="1247766038">
              <w:marLeft w:val="0"/>
              <w:marRight w:val="0"/>
              <w:marTop w:val="0"/>
              <w:marBottom w:val="0"/>
              <w:divBdr>
                <w:top w:val="none" w:sz="0" w:space="0" w:color="auto"/>
                <w:left w:val="none" w:sz="0" w:space="0" w:color="auto"/>
                <w:bottom w:val="none" w:sz="0" w:space="0" w:color="auto"/>
                <w:right w:val="none" w:sz="0" w:space="0" w:color="auto"/>
              </w:divBdr>
            </w:div>
            <w:div w:id="1842621096">
              <w:marLeft w:val="0"/>
              <w:marRight w:val="0"/>
              <w:marTop w:val="0"/>
              <w:marBottom w:val="0"/>
              <w:divBdr>
                <w:top w:val="none" w:sz="0" w:space="0" w:color="auto"/>
                <w:left w:val="none" w:sz="0" w:space="0" w:color="auto"/>
                <w:bottom w:val="none" w:sz="0" w:space="0" w:color="auto"/>
                <w:right w:val="none" w:sz="0" w:space="0" w:color="auto"/>
              </w:divBdr>
            </w:div>
            <w:div w:id="278611045">
              <w:marLeft w:val="0"/>
              <w:marRight w:val="0"/>
              <w:marTop w:val="0"/>
              <w:marBottom w:val="0"/>
              <w:divBdr>
                <w:top w:val="none" w:sz="0" w:space="0" w:color="auto"/>
                <w:left w:val="none" w:sz="0" w:space="0" w:color="auto"/>
                <w:bottom w:val="none" w:sz="0" w:space="0" w:color="auto"/>
                <w:right w:val="none" w:sz="0" w:space="0" w:color="auto"/>
              </w:divBdr>
            </w:div>
            <w:div w:id="1743022745">
              <w:marLeft w:val="0"/>
              <w:marRight w:val="0"/>
              <w:marTop w:val="0"/>
              <w:marBottom w:val="0"/>
              <w:divBdr>
                <w:top w:val="none" w:sz="0" w:space="0" w:color="auto"/>
                <w:left w:val="none" w:sz="0" w:space="0" w:color="auto"/>
                <w:bottom w:val="none" w:sz="0" w:space="0" w:color="auto"/>
                <w:right w:val="none" w:sz="0" w:space="0" w:color="auto"/>
              </w:divBdr>
            </w:div>
            <w:div w:id="174003236">
              <w:marLeft w:val="0"/>
              <w:marRight w:val="0"/>
              <w:marTop w:val="0"/>
              <w:marBottom w:val="0"/>
              <w:divBdr>
                <w:top w:val="none" w:sz="0" w:space="0" w:color="auto"/>
                <w:left w:val="none" w:sz="0" w:space="0" w:color="auto"/>
                <w:bottom w:val="none" w:sz="0" w:space="0" w:color="auto"/>
                <w:right w:val="none" w:sz="0" w:space="0" w:color="auto"/>
              </w:divBdr>
            </w:div>
            <w:div w:id="859049133">
              <w:marLeft w:val="0"/>
              <w:marRight w:val="0"/>
              <w:marTop w:val="0"/>
              <w:marBottom w:val="0"/>
              <w:divBdr>
                <w:top w:val="none" w:sz="0" w:space="0" w:color="auto"/>
                <w:left w:val="none" w:sz="0" w:space="0" w:color="auto"/>
                <w:bottom w:val="none" w:sz="0" w:space="0" w:color="auto"/>
                <w:right w:val="none" w:sz="0" w:space="0" w:color="auto"/>
              </w:divBdr>
            </w:div>
            <w:div w:id="1143694419">
              <w:marLeft w:val="0"/>
              <w:marRight w:val="0"/>
              <w:marTop w:val="0"/>
              <w:marBottom w:val="0"/>
              <w:divBdr>
                <w:top w:val="none" w:sz="0" w:space="0" w:color="auto"/>
                <w:left w:val="none" w:sz="0" w:space="0" w:color="auto"/>
                <w:bottom w:val="none" w:sz="0" w:space="0" w:color="auto"/>
                <w:right w:val="none" w:sz="0" w:space="0" w:color="auto"/>
              </w:divBdr>
            </w:div>
            <w:div w:id="1770158393">
              <w:marLeft w:val="0"/>
              <w:marRight w:val="0"/>
              <w:marTop w:val="0"/>
              <w:marBottom w:val="0"/>
              <w:divBdr>
                <w:top w:val="none" w:sz="0" w:space="0" w:color="auto"/>
                <w:left w:val="none" w:sz="0" w:space="0" w:color="auto"/>
                <w:bottom w:val="none" w:sz="0" w:space="0" w:color="auto"/>
                <w:right w:val="none" w:sz="0" w:space="0" w:color="auto"/>
              </w:divBdr>
            </w:div>
            <w:div w:id="706486528">
              <w:marLeft w:val="0"/>
              <w:marRight w:val="0"/>
              <w:marTop w:val="0"/>
              <w:marBottom w:val="0"/>
              <w:divBdr>
                <w:top w:val="none" w:sz="0" w:space="0" w:color="auto"/>
                <w:left w:val="none" w:sz="0" w:space="0" w:color="auto"/>
                <w:bottom w:val="none" w:sz="0" w:space="0" w:color="auto"/>
                <w:right w:val="none" w:sz="0" w:space="0" w:color="auto"/>
              </w:divBdr>
            </w:div>
            <w:div w:id="501161049">
              <w:marLeft w:val="0"/>
              <w:marRight w:val="0"/>
              <w:marTop w:val="0"/>
              <w:marBottom w:val="0"/>
              <w:divBdr>
                <w:top w:val="none" w:sz="0" w:space="0" w:color="auto"/>
                <w:left w:val="none" w:sz="0" w:space="0" w:color="auto"/>
                <w:bottom w:val="none" w:sz="0" w:space="0" w:color="auto"/>
                <w:right w:val="none" w:sz="0" w:space="0" w:color="auto"/>
              </w:divBdr>
            </w:div>
            <w:div w:id="1759062778">
              <w:marLeft w:val="0"/>
              <w:marRight w:val="0"/>
              <w:marTop w:val="0"/>
              <w:marBottom w:val="0"/>
              <w:divBdr>
                <w:top w:val="none" w:sz="0" w:space="0" w:color="auto"/>
                <w:left w:val="none" w:sz="0" w:space="0" w:color="auto"/>
                <w:bottom w:val="none" w:sz="0" w:space="0" w:color="auto"/>
                <w:right w:val="none" w:sz="0" w:space="0" w:color="auto"/>
              </w:divBdr>
            </w:div>
            <w:div w:id="1038432255">
              <w:marLeft w:val="0"/>
              <w:marRight w:val="0"/>
              <w:marTop w:val="0"/>
              <w:marBottom w:val="0"/>
              <w:divBdr>
                <w:top w:val="none" w:sz="0" w:space="0" w:color="auto"/>
                <w:left w:val="none" w:sz="0" w:space="0" w:color="auto"/>
                <w:bottom w:val="none" w:sz="0" w:space="0" w:color="auto"/>
                <w:right w:val="none" w:sz="0" w:space="0" w:color="auto"/>
              </w:divBdr>
            </w:div>
            <w:div w:id="1366324710">
              <w:marLeft w:val="0"/>
              <w:marRight w:val="0"/>
              <w:marTop w:val="0"/>
              <w:marBottom w:val="0"/>
              <w:divBdr>
                <w:top w:val="none" w:sz="0" w:space="0" w:color="auto"/>
                <w:left w:val="none" w:sz="0" w:space="0" w:color="auto"/>
                <w:bottom w:val="none" w:sz="0" w:space="0" w:color="auto"/>
                <w:right w:val="none" w:sz="0" w:space="0" w:color="auto"/>
              </w:divBdr>
            </w:div>
            <w:div w:id="654337672">
              <w:marLeft w:val="0"/>
              <w:marRight w:val="0"/>
              <w:marTop w:val="0"/>
              <w:marBottom w:val="0"/>
              <w:divBdr>
                <w:top w:val="none" w:sz="0" w:space="0" w:color="auto"/>
                <w:left w:val="none" w:sz="0" w:space="0" w:color="auto"/>
                <w:bottom w:val="none" w:sz="0" w:space="0" w:color="auto"/>
                <w:right w:val="none" w:sz="0" w:space="0" w:color="auto"/>
              </w:divBdr>
            </w:div>
            <w:div w:id="632562092">
              <w:marLeft w:val="0"/>
              <w:marRight w:val="0"/>
              <w:marTop w:val="0"/>
              <w:marBottom w:val="0"/>
              <w:divBdr>
                <w:top w:val="none" w:sz="0" w:space="0" w:color="auto"/>
                <w:left w:val="none" w:sz="0" w:space="0" w:color="auto"/>
                <w:bottom w:val="none" w:sz="0" w:space="0" w:color="auto"/>
                <w:right w:val="none" w:sz="0" w:space="0" w:color="auto"/>
              </w:divBdr>
            </w:div>
            <w:div w:id="1682779198">
              <w:marLeft w:val="0"/>
              <w:marRight w:val="0"/>
              <w:marTop w:val="0"/>
              <w:marBottom w:val="0"/>
              <w:divBdr>
                <w:top w:val="none" w:sz="0" w:space="0" w:color="auto"/>
                <w:left w:val="none" w:sz="0" w:space="0" w:color="auto"/>
                <w:bottom w:val="none" w:sz="0" w:space="0" w:color="auto"/>
                <w:right w:val="none" w:sz="0" w:space="0" w:color="auto"/>
              </w:divBdr>
            </w:div>
            <w:div w:id="1710572268">
              <w:marLeft w:val="0"/>
              <w:marRight w:val="0"/>
              <w:marTop w:val="0"/>
              <w:marBottom w:val="0"/>
              <w:divBdr>
                <w:top w:val="none" w:sz="0" w:space="0" w:color="auto"/>
                <w:left w:val="none" w:sz="0" w:space="0" w:color="auto"/>
                <w:bottom w:val="none" w:sz="0" w:space="0" w:color="auto"/>
                <w:right w:val="none" w:sz="0" w:space="0" w:color="auto"/>
              </w:divBdr>
            </w:div>
            <w:div w:id="2117286000">
              <w:marLeft w:val="0"/>
              <w:marRight w:val="0"/>
              <w:marTop w:val="0"/>
              <w:marBottom w:val="0"/>
              <w:divBdr>
                <w:top w:val="none" w:sz="0" w:space="0" w:color="auto"/>
                <w:left w:val="none" w:sz="0" w:space="0" w:color="auto"/>
                <w:bottom w:val="none" w:sz="0" w:space="0" w:color="auto"/>
                <w:right w:val="none" w:sz="0" w:space="0" w:color="auto"/>
              </w:divBdr>
            </w:div>
            <w:div w:id="900166434">
              <w:marLeft w:val="0"/>
              <w:marRight w:val="0"/>
              <w:marTop w:val="0"/>
              <w:marBottom w:val="0"/>
              <w:divBdr>
                <w:top w:val="none" w:sz="0" w:space="0" w:color="auto"/>
                <w:left w:val="none" w:sz="0" w:space="0" w:color="auto"/>
                <w:bottom w:val="none" w:sz="0" w:space="0" w:color="auto"/>
                <w:right w:val="none" w:sz="0" w:space="0" w:color="auto"/>
              </w:divBdr>
            </w:div>
            <w:div w:id="211844130">
              <w:marLeft w:val="0"/>
              <w:marRight w:val="0"/>
              <w:marTop w:val="0"/>
              <w:marBottom w:val="0"/>
              <w:divBdr>
                <w:top w:val="none" w:sz="0" w:space="0" w:color="auto"/>
                <w:left w:val="none" w:sz="0" w:space="0" w:color="auto"/>
                <w:bottom w:val="none" w:sz="0" w:space="0" w:color="auto"/>
                <w:right w:val="none" w:sz="0" w:space="0" w:color="auto"/>
              </w:divBdr>
            </w:div>
            <w:div w:id="1451122079">
              <w:marLeft w:val="0"/>
              <w:marRight w:val="0"/>
              <w:marTop w:val="0"/>
              <w:marBottom w:val="0"/>
              <w:divBdr>
                <w:top w:val="none" w:sz="0" w:space="0" w:color="auto"/>
                <w:left w:val="none" w:sz="0" w:space="0" w:color="auto"/>
                <w:bottom w:val="none" w:sz="0" w:space="0" w:color="auto"/>
                <w:right w:val="none" w:sz="0" w:space="0" w:color="auto"/>
              </w:divBdr>
            </w:div>
            <w:div w:id="1066683500">
              <w:marLeft w:val="0"/>
              <w:marRight w:val="0"/>
              <w:marTop w:val="0"/>
              <w:marBottom w:val="0"/>
              <w:divBdr>
                <w:top w:val="none" w:sz="0" w:space="0" w:color="auto"/>
                <w:left w:val="none" w:sz="0" w:space="0" w:color="auto"/>
                <w:bottom w:val="none" w:sz="0" w:space="0" w:color="auto"/>
                <w:right w:val="none" w:sz="0" w:space="0" w:color="auto"/>
              </w:divBdr>
            </w:div>
            <w:div w:id="444544409">
              <w:marLeft w:val="0"/>
              <w:marRight w:val="0"/>
              <w:marTop w:val="0"/>
              <w:marBottom w:val="0"/>
              <w:divBdr>
                <w:top w:val="none" w:sz="0" w:space="0" w:color="auto"/>
                <w:left w:val="none" w:sz="0" w:space="0" w:color="auto"/>
                <w:bottom w:val="none" w:sz="0" w:space="0" w:color="auto"/>
                <w:right w:val="none" w:sz="0" w:space="0" w:color="auto"/>
              </w:divBdr>
            </w:div>
            <w:div w:id="1482959819">
              <w:marLeft w:val="0"/>
              <w:marRight w:val="0"/>
              <w:marTop w:val="0"/>
              <w:marBottom w:val="0"/>
              <w:divBdr>
                <w:top w:val="none" w:sz="0" w:space="0" w:color="auto"/>
                <w:left w:val="none" w:sz="0" w:space="0" w:color="auto"/>
                <w:bottom w:val="none" w:sz="0" w:space="0" w:color="auto"/>
                <w:right w:val="none" w:sz="0" w:space="0" w:color="auto"/>
              </w:divBdr>
            </w:div>
            <w:div w:id="649675055">
              <w:marLeft w:val="0"/>
              <w:marRight w:val="0"/>
              <w:marTop w:val="0"/>
              <w:marBottom w:val="0"/>
              <w:divBdr>
                <w:top w:val="none" w:sz="0" w:space="0" w:color="auto"/>
                <w:left w:val="none" w:sz="0" w:space="0" w:color="auto"/>
                <w:bottom w:val="none" w:sz="0" w:space="0" w:color="auto"/>
                <w:right w:val="none" w:sz="0" w:space="0" w:color="auto"/>
              </w:divBdr>
            </w:div>
          </w:divsChild>
        </w:div>
        <w:div w:id="1420639929">
          <w:marLeft w:val="0"/>
          <w:marRight w:val="0"/>
          <w:marTop w:val="0"/>
          <w:marBottom w:val="0"/>
          <w:divBdr>
            <w:top w:val="none" w:sz="0" w:space="0" w:color="auto"/>
            <w:left w:val="none" w:sz="0" w:space="0" w:color="auto"/>
            <w:bottom w:val="none" w:sz="0" w:space="0" w:color="auto"/>
            <w:right w:val="none" w:sz="0" w:space="0" w:color="auto"/>
          </w:divBdr>
          <w:divsChild>
            <w:div w:id="2029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4E2E-A47C-4AEA-BA2B-E7265AEA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1513</Words>
  <Characters>7974</Characters>
  <Application>Microsoft Office Word</Application>
  <DocSecurity>0</DocSecurity>
  <Lines>209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Mr Taylor</cp:lastModifiedBy>
  <cp:revision>3</cp:revision>
  <cp:lastPrinted>2018-10-11T07:33:00Z</cp:lastPrinted>
  <dcterms:created xsi:type="dcterms:W3CDTF">2018-10-15T21:00:00Z</dcterms:created>
  <dcterms:modified xsi:type="dcterms:W3CDTF">2018-10-15T21:17:00Z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2018-10-11T00:00:00Z</vt:filetime>
  </property>
</Properties>
</file>