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A9B4F" w14:textId="77777777" w:rsidR="00060B5A" w:rsidRPr="002A6345" w:rsidRDefault="00060B5A" w:rsidP="005C184A">
      <w:pPr>
        <w:widowControl w:val="0"/>
        <w:autoSpaceDE w:val="0"/>
        <w:autoSpaceDN w:val="0"/>
        <w:adjustRightInd w:val="0"/>
        <w:rPr>
          <w:rFonts w:cs="Calibri"/>
          <w:b/>
          <w:iCs/>
          <w:sz w:val="40"/>
          <w:szCs w:val="40"/>
        </w:rPr>
      </w:pPr>
    </w:p>
    <w:p w14:paraId="7E25096D" w14:textId="24E6F469" w:rsidR="00060B5A" w:rsidRPr="002A6345" w:rsidRDefault="00060B5A" w:rsidP="00060B5A">
      <w:pPr>
        <w:widowControl w:val="0"/>
        <w:autoSpaceDE w:val="0"/>
        <w:autoSpaceDN w:val="0"/>
        <w:adjustRightInd w:val="0"/>
        <w:jc w:val="center"/>
        <w:rPr>
          <w:rFonts w:cs="Calibri"/>
          <w:b/>
          <w:iCs/>
          <w:sz w:val="40"/>
          <w:szCs w:val="40"/>
        </w:rPr>
      </w:pPr>
      <w:r w:rsidRPr="002A6345">
        <w:rPr>
          <w:rFonts w:cs="Calibri"/>
          <w:b/>
          <w:iCs/>
          <w:sz w:val="40"/>
          <w:szCs w:val="40"/>
        </w:rPr>
        <w:t>LTAR</w:t>
      </w:r>
    </w:p>
    <w:p w14:paraId="5F34F977" w14:textId="77777777" w:rsidR="00606130" w:rsidRPr="002A6345" w:rsidRDefault="00606130" w:rsidP="00060B5A">
      <w:pPr>
        <w:widowControl w:val="0"/>
        <w:autoSpaceDE w:val="0"/>
        <w:autoSpaceDN w:val="0"/>
        <w:adjustRightInd w:val="0"/>
        <w:jc w:val="center"/>
        <w:rPr>
          <w:rFonts w:cs="Calibri"/>
          <w:b/>
          <w:iCs/>
          <w:sz w:val="40"/>
          <w:szCs w:val="40"/>
        </w:rPr>
      </w:pPr>
    </w:p>
    <w:p w14:paraId="43BFA057" w14:textId="342DE533" w:rsidR="00FE5C69" w:rsidRDefault="00FE5C69" w:rsidP="00606130">
      <w:pPr>
        <w:widowControl w:val="0"/>
        <w:autoSpaceDE w:val="0"/>
        <w:autoSpaceDN w:val="0"/>
        <w:adjustRightInd w:val="0"/>
        <w:jc w:val="center"/>
        <w:rPr>
          <w:rFonts w:cs="Calibri"/>
          <w:b/>
          <w:iCs/>
          <w:sz w:val="36"/>
          <w:szCs w:val="36"/>
        </w:rPr>
      </w:pPr>
      <w:r>
        <w:rPr>
          <w:rFonts w:cs="Calibri"/>
          <w:b/>
          <w:iCs/>
          <w:sz w:val="36"/>
          <w:szCs w:val="36"/>
        </w:rPr>
        <w:t>Recommended Observations</w:t>
      </w:r>
      <w:r w:rsidR="00606130" w:rsidRPr="008A10E2">
        <w:rPr>
          <w:rFonts w:cs="Calibri"/>
          <w:b/>
          <w:iCs/>
          <w:sz w:val="36"/>
          <w:szCs w:val="36"/>
        </w:rPr>
        <w:t xml:space="preserve"> </w:t>
      </w:r>
      <w:r>
        <w:rPr>
          <w:rFonts w:cs="Calibri"/>
          <w:b/>
          <w:iCs/>
          <w:sz w:val="36"/>
          <w:szCs w:val="36"/>
        </w:rPr>
        <w:t xml:space="preserve">for the LTAR </w:t>
      </w:r>
      <w:r w:rsidR="00606130" w:rsidRPr="008A10E2">
        <w:rPr>
          <w:rFonts w:cs="Calibri"/>
          <w:b/>
          <w:iCs/>
          <w:sz w:val="36"/>
          <w:szCs w:val="36"/>
        </w:rPr>
        <w:t>Met Site and Interim Procedures for Making These Observations</w:t>
      </w:r>
      <w:r w:rsidR="00060B5A" w:rsidRPr="008A10E2">
        <w:rPr>
          <w:rFonts w:cs="Calibri"/>
          <w:b/>
          <w:iCs/>
          <w:sz w:val="36"/>
          <w:szCs w:val="36"/>
        </w:rPr>
        <w:t xml:space="preserve"> </w:t>
      </w:r>
      <w:r w:rsidR="00606130" w:rsidRPr="008A10E2">
        <w:rPr>
          <w:rFonts w:cs="Calibri"/>
          <w:b/>
          <w:iCs/>
          <w:sz w:val="36"/>
          <w:szCs w:val="36"/>
        </w:rPr>
        <w:t>Available to the National Ag. Library</w:t>
      </w:r>
    </w:p>
    <w:p w14:paraId="73951308" w14:textId="1E7EF7E0" w:rsidR="00606130" w:rsidRPr="00FE5C69" w:rsidRDefault="00C84579" w:rsidP="00606130">
      <w:pPr>
        <w:widowControl w:val="0"/>
        <w:autoSpaceDE w:val="0"/>
        <w:autoSpaceDN w:val="0"/>
        <w:adjustRightInd w:val="0"/>
        <w:jc w:val="center"/>
        <w:rPr>
          <w:rFonts w:cs="Calibri"/>
          <w:b/>
          <w:i/>
          <w:iCs/>
          <w:sz w:val="36"/>
          <w:szCs w:val="36"/>
        </w:rPr>
      </w:pPr>
      <w:r>
        <w:rPr>
          <w:rFonts w:cs="Calibri"/>
          <w:b/>
          <w:i/>
          <w:iCs/>
          <w:sz w:val="36"/>
          <w:szCs w:val="36"/>
        </w:rPr>
        <w:t>(Penultimate Draft</w:t>
      </w:r>
      <w:r w:rsidR="00FE5C69" w:rsidRPr="00FE5C69">
        <w:rPr>
          <w:rFonts w:cs="Calibri"/>
          <w:b/>
          <w:i/>
          <w:iCs/>
          <w:sz w:val="36"/>
          <w:szCs w:val="36"/>
        </w:rPr>
        <w:t xml:space="preserve">) </w:t>
      </w:r>
    </w:p>
    <w:p w14:paraId="028BC7CA" w14:textId="77777777" w:rsidR="00606130" w:rsidRPr="002A6345" w:rsidRDefault="00606130" w:rsidP="00060B5A">
      <w:pPr>
        <w:widowControl w:val="0"/>
        <w:autoSpaceDE w:val="0"/>
        <w:autoSpaceDN w:val="0"/>
        <w:adjustRightInd w:val="0"/>
        <w:jc w:val="center"/>
        <w:rPr>
          <w:rFonts w:cs="Calibri"/>
          <w:b/>
          <w:iCs/>
          <w:sz w:val="40"/>
          <w:szCs w:val="40"/>
        </w:rPr>
      </w:pPr>
    </w:p>
    <w:p w14:paraId="515F6E20" w14:textId="77777777" w:rsidR="000060A7" w:rsidRPr="002A6345" w:rsidRDefault="000060A7" w:rsidP="00060B5A">
      <w:pPr>
        <w:widowControl w:val="0"/>
        <w:autoSpaceDE w:val="0"/>
        <w:autoSpaceDN w:val="0"/>
        <w:adjustRightInd w:val="0"/>
        <w:jc w:val="center"/>
        <w:rPr>
          <w:rFonts w:cs="Calibri"/>
          <w:b/>
          <w:iCs/>
          <w:sz w:val="40"/>
          <w:szCs w:val="40"/>
        </w:rPr>
      </w:pPr>
    </w:p>
    <w:p w14:paraId="051887D0" w14:textId="77777777" w:rsidR="0049003E" w:rsidRPr="002A6345" w:rsidRDefault="0049003E" w:rsidP="00060B5A">
      <w:pPr>
        <w:widowControl w:val="0"/>
        <w:autoSpaceDE w:val="0"/>
        <w:autoSpaceDN w:val="0"/>
        <w:adjustRightInd w:val="0"/>
        <w:jc w:val="center"/>
        <w:rPr>
          <w:rFonts w:cs="Calibri"/>
          <w:b/>
          <w:iCs/>
          <w:sz w:val="40"/>
          <w:szCs w:val="40"/>
        </w:rPr>
      </w:pPr>
    </w:p>
    <w:p w14:paraId="191EE420" w14:textId="77777777" w:rsidR="0049003E" w:rsidRPr="002A6345" w:rsidRDefault="0049003E" w:rsidP="00060B5A">
      <w:pPr>
        <w:widowControl w:val="0"/>
        <w:autoSpaceDE w:val="0"/>
        <w:autoSpaceDN w:val="0"/>
        <w:adjustRightInd w:val="0"/>
        <w:jc w:val="center"/>
        <w:rPr>
          <w:rFonts w:cs="Calibri"/>
          <w:b/>
          <w:iCs/>
          <w:sz w:val="40"/>
          <w:szCs w:val="40"/>
        </w:rPr>
      </w:pPr>
    </w:p>
    <w:p w14:paraId="4CA61E27" w14:textId="77777777" w:rsidR="00060B5A" w:rsidRPr="002A6345" w:rsidRDefault="00060B5A" w:rsidP="00060B5A">
      <w:pPr>
        <w:widowControl w:val="0"/>
        <w:autoSpaceDE w:val="0"/>
        <w:autoSpaceDN w:val="0"/>
        <w:adjustRightInd w:val="0"/>
        <w:rPr>
          <w:rFonts w:cs="Calibri"/>
          <w:b/>
          <w:iCs/>
        </w:rPr>
      </w:pPr>
    </w:p>
    <w:p w14:paraId="6DE791BB" w14:textId="77777777" w:rsidR="00060B5A" w:rsidRPr="002A6345" w:rsidRDefault="00060B5A" w:rsidP="005C184A">
      <w:pPr>
        <w:widowControl w:val="0"/>
        <w:autoSpaceDE w:val="0"/>
        <w:autoSpaceDN w:val="0"/>
        <w:adjustRightInd w:val="0"/>
        <w:rPr>
          <w:rFonts w:cs="Calibri"/>
          <w:b/>
          <w:iCs/>
        </w:rPr>
      </w:pPr>
    </w:p>
    <w:p w14:paraId="67CEABF1" w14:textId="77777777" w:rsidR="00060B5A" w:rsidRPr="002A6345" w:rsidRDefault="00060B5A" w:rsidP="005C184A">
      <w:pPr>
        <w:widowControl w:val="0"/>
        <w:autoSpaceDE w:val="0"/>
        <w:autoSpaceDN w:val="0"/>
        <w:adjustRightInd w:val="0"/>
        <w:rPr>
          <w:rFonts w:cs="Calibri"/>
          <w:b/>
          <w:iCs/>
        </w:rPr>
      </w:pPr>
    </w:p>
    <w:p w14:paraId="7EA723E0" w14:textId="77777777" w:rsidR="00060B5A" w:rsidRPr="002A6345" w:rsidRDefault="00060B5A" w:rsidP="005C184A">
      <w:pPr>
        <w:widowControl w:val="0"/>
        <w:autoSpaceDE w:val="0"/>
        <w:autoSpaceDN w:val="0"/>
        <w:adjustRightInd w:val="0"/>
        <w:rPr>
          <w:rFonts w:cs="Calibri"/>
          <w:b/>
          <w:iCs/>
        </w:rPr>
      </w:pPr>
    </w:p>
    <w:p w14:paraId="409AE8D7" w14:textId="77777777" w:rsidR="00060B5A" w:rsidRPr="002A6345" w:rsidRDefault="00060B5A" w:rsidP="005C184A">
      <w:pPr>
        <w:widowControl w:val="0"/>
        <w:autoSpaceDE w:val="0"/>
        <w:autoSpaceDN w:val="0"/>
        <w:adjustRightInd w:val="0"/>
        <w:rPr>
          <w:rFonts w:cs="Calibri"/>
          <w:b/>
          <w:iCs/>
        </w:rPr>
      </w:pPr>
    </w:p>
    <w:p w14:paraId="11E35F1E" w14:textId="77777777" w:rsidR="00060B5A" w:rsidRPr="002A6345" w:rsidRDefault="00060B5A" w:rsidP="005C184A">
      <w:pPr>
        <w:widowControl w:val="0"/>
        <w:autoSpaceDE w:val="0"/>
        <w:autoSpaceDN w:val="0"/>
        <w:adjustRightInd w:val="0"/>
        <w:rPr>
          <w:rFonts w:cs="Calibri"/>
          <w:b/>
          <w:iCs/>
        </w:rPr>
      </w:pPr>
    </w:p>
    <w:p w14:paraId="5AC4C1A9" w14:textId="77777777" w:rsidR="00060B5A" w:rsidRPr="002A6345" w:rsidRDefault="00060B5A" w:rsidP="005C184A">
      <w:pPr>
        <w:widowControl w:val="0"/>
        <w:autoSpaceDE w:val="0"/>
        <w:autoSpaceDN w:val="0"/>
        <w:adjustRightInd w:val="0"/>
        <w:rPr>
          <w:rFonts w:cs="Calibri"/>
          <w:b/>
          <w:iCs/>
        </w:rPr>
      </w:pPr>
    </w:p>
    <w:p w14:paraId="49466056" w14:textId="77777777" w:rsidR="00060B5A" w:rsidRPr="002A6345" w:rsidRDefault="00060B5A" w:rsidP="005C184A">
      <w:pPr>
        <w:widowControl w:val="0"/>
        <w:autoSpaceDE w:val="0"/>
        <w:autoSpaceDN w:val="0"/>
        <w:adjustRightInd w:val="0"/>
        <w:rPr>
          <w:rFonts w:cs="Calibri"/>
          <w:b/>
          <w:iCs/>
        </w:rPr>
      </w:pPr>
    </w:p>
    <w:p w14:paraId="2BEAAB52" w14:textId="77777777" w:rsidR="00060B5A" w:rsidRPr="002A6345" w:rsidRDefault="00060B5A" w:rsidP="005C184A">
      <w:pPr>
        <w:widowControl w:val="0"/>
        <w:autoSpaceDE w:val="0"/>
        <w:autoSpaceDN w:val="0"/>
        <w:adjustRightInd w:val="0"/>
        <w:rPr>
          <w:rFonts w:cs="Calibri"/>
          <w:b/>
          <w:iCs/>
        </w:rPr>
      </w:pPr>
    </w:p>
    <w:p w14:paraId="64BB27BA" w14:textId="77777777" w:rsidR="00060B5A" w:rsidRPr="002A6345" w:rsidRDefault="00060B5A" w:rsidP="005C184A">
      <w:pPr>
        <w:widowControl w:val="0"/>
        <w:autoSpaceDE w:val="0"/>
        <w:autoSpaceDN w:val="0"/>
        <w:adjustRightInd w:val="0"/>
        <w:rPr>
          <w:rFonts w:cs="Calibri"/>
          <w:b/>
          <w:iCs/>
        </w:rPr>
      </w:pPr>
    </w:p>
    <w:p w14:paraId="7AEFFA96" w14:textId="77777777" w:rsidR="00060B5A" w:rsidRPr="002A6345" w:rsidRDefault="00060B5A" w:rsidP="005C184A">
      <w:pPr>
        <w:widowControl w:val="0"/>
        <w:autoSpaceDE w:val="0"/>
        <w:autoSpaceDN w:val="0"/>
        <w:adjustRightInd w:val="0"/>
        <w:rPr>
          <w:rFonts w:cs="Calibri"/>
          <w:b/>
          <w:iCs/>
        </w:rPr>
      </w:pPr>
    </w:p>
    <w:p w14:paraId="636D3B89" w14:textId="77777777" w:rsidR="00060B5A" w:rsidRPr="002A6345" w:rsidRDefault="00060B5A" w:rsidP="005C184A">
      <w:pPr>
        <w:widowControl w:val="0"/>
        <w:autoSpaceDE w:val="0"/>
        <w:autoSpaceDN w:val="0"/>
        <w:adjustRightInd w:val="0"/>
        <w:rPr>
          <w:rFonts w:cs="Calibri"/>
          <w:b/>
          <w:iCs/>
        </w:rPr>
      </w:pPr>
    </w:p>
    <w:p w14:paraId="7091D819" w14:textId="77777777" w:rsidR="00060B5A" w:rsidRPr="002A6345" w:rsidRDefault="00060B5A" w:rsidP="005C184A">
      <w:pPr>
        <w:widowControl w:val="0"/>
        <w:autoSpaceDE w:val="0"/>
        <w:autoSpaceDN w:val="0"/>
        <w:adjustRightInd w:val="0"/>
        <w:rPr>
          <w:rFonts w:cs="Calibri"/>
          <w:b/>
          <w:iCs/>
        </w:rPr>
      </w:pPr>
    </w:p>
    <w:p w14:paraId="261C356A" w14:textId="77777777" w:rsidR="00060B5A" w:rsidRPr="002A6345" w:rsidRDefault="00060B5A" w:rsidP="005C184A">
      <w:pPr>
        <w:widowControl w:val="0"/>
        <w:autoSpaceDE w:val="0"/>
        <w:autoSpaceDN w:val="0"/>
        <w:adjustRightInd w:val="0"/>
        <w:rPr>
          <w:rFonts w:cs="Calibri"/>
          <w:b/>
          <w:iCs/>
        </w:rPr>
      </w:pPr>
    </w:p>
    <w:p w14:paraId="2339E094" w14:textId="77777777" w:rsidR="00060B5A" w:rsidRPr="002A6345" w:rsidRDefault="00060B5A" w:rsidP="005C184A">
      <w:pPr>
        <w:widowControl w:val="0"/>
        <w:autoSpaceDE w:val="0"/>
        <w:autoSpaceDN w:val="0"/>
        <w:adjustRightInd w:val="0"/>
        <w:rPr>
          <w:rFonts w:cs="Calibri"/>
          <w:b/>
          <w:iCs/>
        </w:rPr>
      </w:pPr>
    </w:p>
    <w:p w14:paraId="7E6942A9" w14:textId="77777777" w:rsidR="00060B5A" w:rsidRPr="002A6345" w:rsidRDefault="00060B5A" w:rsidP="005C184A">
      <w:pPr>
        <w:widowControl w:val="0"/>
        <w:autoSpaceDE w:val="0"/>
        <w:autoSpaceDN w:val="0"/>
        <w:adjustRightInd w:val="0"/>
        <w:rPr>
          <w:rFonts w:cs="Calibri"/>
          <w:b/>
          <w:iCs/>
        </w:rPr>
      </w:pPr>
    </w:p>
    <w:p w14:paraId="272F56BD" w14:textId="77777777" w:rsidR="00060B5A" w:rsidRPr="002A6345" w:rsidRDefault="00060B5A" w:rsidP="005C184A">
      <w:pPr>
        <w:widowControl w:val="0"/>
        <w:autoSpaceDE w:val="0"/>
        <w:autoSpaceDN w:val="0"/>
        <w:adjustRightInd w:val="0"/>
        <w:rPr>
          <w:rFonts w:cs="Calibri"/>
          <w:b/>
          <w:iCs/>
        </w:rPr>
      </w:pPr>
    </w:p>
    <w:p w14:paraId="5E1F688D" w14:textId="77777777" w:rsidR="00060B5A" w:rsidRPr="002A6345" w:rsidRDefault="00060B5A" w:rsidP="005C184A">
      <w:pPr>
        <w:widowControl w:val="0"/>
        <w:autoSpaceDE w:val="0"/>
        <w:autoSpaceDN w:val="0"/>
        <w:adjustRightInd w:val="0"/>
        <w:rPr>
          <w:rFonts w:cs="Calibri"/>
          <w:b/>
          <w:iCs/>
        </w:rPr>
      </w:pPr>
    </w:p>
    <w:p w14:paraId="75FAC588" w14:textId="77777777" w:rsidR="00060B5A" w:rsidRPr="002A6345" w:rsidRDefault="00060B5A" w:rsidP="005C184A">
      <w:pPr>
        <w:widowControl w:val="0"/>
        <w:autoSpaceDE w:val="0"/>
        <w:autoSpaceDN w:val="0"/>
        <w:adjustRightInd w:val="0"/>
        <w:rPr>
          <w:rFonts w:cs="Calibri"/>
          <w:b/>
          <w:iCs/>
        </w:rPr>
      </w:pPr>
    </w:p>
    <w:p w14:paraId="3078EA38" w14:textId="77777777" w:rsidR="00060B5A" w:rsidRPr="002A6345" w:rsidRDefault="00060B5A" w:rsidP="005C184A">
      <w:pPr>
        <w:widowControl w:val="0"/>
        <w:autoSpaceDE w:val="0"/>
        <w:autoSpaceDN w:val="0"/>
        <w:adjustRightInd w:val="0"/>
        <w:rPr>
          <w:rFonts w:cs="Calibri"/>
          <w:b/>
          <w:iCs/>
        </w:rPr>
      </w:pPr>
    </w:p>
    <w:p w14:paraId="29BE2AE8" w14:textId="77777777" w:rsidR="00060B5A" w:rsidRPr="002A6345" w:rsidRDefault="00060B5A" w:rsidP="005C184A">
      <w:pPr>
        <w:widowControl w:val="0"/>
        <w:autoSpaceDE w:val="0"/>
        <w:autoSpaceDN w:val="0"/>
        <w:adjustRightInd w:val="0"/>
        <w:rPr>
          <w:rFonts w:cs="Calibri"/>
          <w:i/>
          <w:iCs/>
        </w:rPr>
      </w:pPr>
    </w:p>
    <w:p w14:paraId="7F80C179" w14:textId="560360CD" w:rsidR="00060B5A" w:rsidRPr="002A6345" w:rsidRDefault="0049003E" w:rsidP="0049003E">
      <w:pPr>
        <w:widowControl w:val="0"/>
        <w:autoSpaceDE w:val="0"/>
        <w:autoSpaceDN w:val="0"/>
        <w:adjustRightInd w:val="0"/>
        <w:jc w:val="center"/>
        <w:rPr>
          <w:rFonts w:cs="Calibri"/>
          <w:i/>
          <w:iCs/>
        </w:rPr>
      </w:pPr>
      <w:r w:rsidRPr="002A6345">
        <w:rPr>
          <w:rFonts w:cs="Calibri"/>
          <w:i/>
          <w:iCs/>
        </w:rPr>
        <w:t>(</w:t>
      </w:r>
      <w:r w:rsidR="00C84579">
        <w:rPr>
          <w:rFonts w:cs="Calibri"/>
          <w:i/>
          <w:iCs/>
        </w:rPr>
        <w:t xml:space="preserve">Penultimate </w:t>
      </w:r>
      <w:r w:rsidRPr="002A6345">
        <w:rPr>
          <w:rFonts w:cs="Calibri"/>
          <w:i/>
          <w:iCs/>
        </w:rPr>
        <w:t>Draft –</w:t>
      </w:r>
      <w:r w:rsidR="000060A7" w:rsidRPr="002A6345">
        <w:rPr>
          <w:rFonts w:cs="Calibri"/>
          <w:i/>
          <w:iCs/>
        </w:rPr>
        <w:t xml:space="preserve"> </w:t>
      </w:r>
      <w:r w:rsidR="00C84579">
        <w:rPr>
          <w:rFonts w:cs="Calibri"/>
          <w:i/>
          <w:iCs/>
        </w:rPr>
        <w:t>July 3</w:t>
      </w:r>
      <w:r w:rsidR="000060A7" w:rsidRPr="002A6345">
        <w:rPr>
          <w:rFonts w:cs="Calibri"/>
          <w:i/>
          <w:iCs/>
        </w:rPr>
        <w:t>, 2015</w:t>
      </w:r>
      <w:r w:rsidRPr="002A6345">
        <w:rPr>
          <w:rFonts w:cs="Calibri"/>
          <w:i/>
          <w:iCs/>
        </w:rPr>
        <w:t>)</w:t>
      </w:r>
    </w:p>
    <w:p w14:paraId="098B2BD5" w14:textId="77777777" w:rsidR="00060B5A" w:rsidRPr="002A6345" w:rsidRDefault="00060B5A" w:rsidP="005C184A">
      <w:pPr>
        <w:widowControl w:val="0"/>
        <w:autoSpaceDE w:val="0"/>
        <w:autoSpaceDN w:val="0"/>
        <w:adjustRightInd w:val="0"/>
        <w:rPr>
          <w:rFonts w:cs="Calibri"/>
          <w:b/>
          <w:iCs/>
        </w:rPr>
      </w:pPr>
    </w:p>
    <w:p w14:paraId="3B1D3B02" w14:textId="77777777" w:rsidR="00060B5A" w:rsidRPr="002A6345" w:rsidRDefault="00060B5A" w:rsidP="005C184A">
      <w:pPr>
        <w:widowControl w:val="0"/>
        <w:autoSpaceDE w:val="0"/>
        <w:autoSpaceDN w:val="0"/>
        <w:adjustRightInd w:val="0"/>
        <w:rPr>
          <w:rFonts w:cs="Calibri"/>
          <w:b/>
          <w:iCs/>
        </w:rPr>
      </w:pPr>
    </w:p>
    <w:p w14:paraId="6B6D9124" w14:textId="77777777" w:rsidR="00060B5A" w:rsidRPr="002A6345" w:rsidRDefault="00060B5A" w:rsidP="005C184A">
      <w:pPr>
        <w:widowControl w:val="0"/>
        <w:autoSpaceDE w:val="0"/>
        <w:autoSpaceDN w:val="0"/>
        <w:adjustRightInd w:val="0"/>
        <w:rPr>
          <w:rFonts w:cs="Calibri"/>
          <w:b/>
          <w:iCs/>
        </w:rPr>
      </w:pPr>
    </w:p>
    <w:p w14:paraId="656614FA" w14:textId="77777777" w:rsidR="00060B5A" w:rsidRPr="002A6345" w:rsidRDefault="00060B5A" w:rsidP="005C184A">
      <w:pPr>
        <w:widowControl w:val="0"/>
        <w:autoSpaceDE w:val="0"/>
        <w:autoSpaceDN w:val="0"/>
        <w:adjustRightInd w:val="0"/>
        <w:rPr>
          <w:rFonts w:cs="Calibri"/>
          <w:b/>
          <w:iCs/>
        </w:rPr>
      </w:pPr>
    </w:p>
    <w:p w14:paraId="1DD1016E" w14:textId="77777777" w:rsidR="00060B5A" w:rsidRPr="002A6345" w:rsidRDefault="00060B5A" w:rsidP="005C184A">
      <w:pPr>
        <w:widowControl w:val="0"/>
        <w:autoSpaceDE w:val="0"/>
        <w:autoSpaceDN w:val="0"/>
        <w:adjustRightInd w:val="0"/>
        <w:rPr>
          <w:rFonts w:cs="Calibri"/>
          <w:b/>
          <w:iCs/>
        </w:rPr>
      </w:pPr>
    </w:p>
    <w:p w14:paraId="60745D15" w14:textId="77777777" w:rsidR="00EF1696" w:rsidRPr="002A6345" w:rsidRDefault="00EF1696" w:rsidP="005C184A">
      <w:pPr>
        <w:widowControl w:val="0"/>
        <w:autoSpaceDE w:val="0"/>
        <w:autoSpaceDN w:val="0"/>
        <w:adjustRightInd w:val="0"/>
        <w:rPr>
          <w:rFonts w:cs="Calibri"/>
          <w:b/>
          <w:iCs/>
        </w:rPr>
      </w:pPr>
    </w:p>
    <w:p w14:paraId="6B23E563" w14:textId="77777777" w:rsidR="00EF1696" w:rsidRPr="002A6345" w:rsidRDefault="00EF1696" w:rsidP="005C184A">
      <w:pPr>
        <w:widowControl w:val="0"/>
        <w:autoSpaceDE w:val="0"/>
        <w:autoSpaceDN w:val="0"/>
        <w:adjustRightInd w:val="0"/>
        <w:rPr>
          <w:rFonts w:cs="Calibri"/>
          <w:b/>
          <w:iCs/>
        </w:rPr>
      </w:pPr>
    </w:p>
    <w:p w14:paraId="5B240358" w14:textId="77777777" w:rsidR="00EF1696" w:rsidRPr="002A6345" w:rsidRDefault="00EF1696" w:rsidP="005C184A">
      <w:pPr>
        <w:widowControl w:val="0"/>
        <w:autoSpaceDE w:val="0"/>
        <w:autoSpaceDN w:val="0"/>
        <w:adjustRightInd w:val="0"/>
        <w:rPr>
          <w:rFonts w:cs="Calibri"/>
          <w:b/>
          <w:iCs/>
        </w:rPr>
      </w:pPr>
    </w:p>
    <w:p w14:paraId="7630889D" w14:textId="77777777" w:rsidR="00060B5A" w:rsidRPr="002A6345" w:rsidRDefault="00060B5A" w:rsidP="005C184A">
      <w:pPr>
        <w:widowControl w:val="0"/>
        <w:autoSpaceDE w:val="0"/>
        <w:autoSpaceDN w:val="0"/>
        <w:adjustRightInd w:val="0"/>
        <w:rPr>
          <w:rFonts w:cs="Calibri"/>
          <w:b/>
          <w:iCs/>
        </w:rPr>
      </w:pPr>
    </w:p>
    <w:p w14:paraId="0FA134E4" w14:textId="77777777" w:rsidR="00EF1696" w:rsidRPr="002A6345" w:rsidRDefault="00EF1696" w:rsidP="0049003E">
      <w:pPr>
        <w:widowControl w:val="0"/>
        <w:autoSpaceDE w:val="0"/>
        <w:autoSpaceDN w:val="0"/>
        <w:adjustRightInd w:val="0"/>
        <w:jc w:val="center"/>
        <w:rPr>
          <w:rFonts w:cs="Calibri"/>
          <w:b/>
          <w:iCs/>
          <w:sz w:val="28"/>
          <w:szCs w:val="28"/>
        </w:rPr>
      </w:pPr>
    </w:p>
    <w:p w14:paraId="3676D436" w14:textId="77777777" w:rsidR="00EF1696" w:rsidRPr="002A6345" w:rsidRDefault="00EF1696" w:rsidP="0049003E">
      <w:pPr>
        <w:widowControl w:val="0"/>
        <w:autoSpaceDE w:val="0"/>
        <w:autoSpaceDN w:val="0"/>
        <w:adjustRightInd w:val="0"/>
        <w:jc w:val="center"/>
        <w:rPr>
          <w:rFonts w:cs="Calibri"/>
          <w:b/>
          <w:iCs/>
          <w:sz w:val="28"/>
          <w:szCs w:val="28"/>
        </w:rPr>
      </w:pPr>
    </w:p>
    <w:p w14:paraId="3EF5DCF5" w14:textId="08B3885C" w:rsidR="00060B5A" w:rsidRPr="002A6345" w:rsidRDefault="00060B5A" w:rsidP="0049003E">
      <w:pPr>
        <w:widowControl w:val="0"/>
        <w:autoSpaceDE w:val="0"/>
        <w:autoSpaceDN w:val="0"/>
        <w:adjustRightInd w:val="0"/>
        <w:jc w:val="center"/>
        <w:rPr>
          <w:rFonts w:cs="Calibri"/>
          <w:b/>
          <w:iCs/>
          <w:sz w:val="28"/>
          <w:szCs w:val="28"/>
        </w:rPr>
      </w:pPr>
      <w:r w:rsidRPr="002A6345">
        <w:rPr>
          <w:rFonts w:cs="Calibri"/>
          <w:b/>
          <w:iCs/>
          <w:sz w:val="28"/>
          <w:szCs w:val="28"/>
        </w:rPr>
        <w:t>Table of Contents</w:t>
      </w:r>
    </w:p>
    <w:p w14:paraId="6AF65F51" w14:textId="77777777" w:rsidR="00060B5A" w:rsidRPr="002A6345" w:rsidRDefault="00060B5A" w:rsidP="005C184A">
      <w:pPr>
        <w:widowControl w:val="0"/>
        <w:autoSpaceDE w:val="0"/>
        <w:autoSpaceDN w:val="0"/>
        <w:adjustRightInd w:val="0"/>
        <w:rPr>
          <w:rFonts w:cs="Calibri"/>
          <w:b/>
          <w:iCs/>
        </w:rPr>
      </w:pPr>
    </w:p>
    <w:p w14:paraId="07B7FD1A" w14:textId="77777777" w:rsidR="00EF1696" w:rsidRPr="002A6345" w:rsidRDefault="00EF1696" w:rsidP="005C184A">
      <w:pPr>
        <w:widowControl w:val="0"/>
        <w:autoSpaceDE w:val="0"/>
        <w:autoSpaceDN w:val="0"/>
        <w:adjustRightInd w:val="0"/>
        <w:rPr>
          <w:rFonts w:cs="Calibri"/>
          <w:b/>
          <w:iCs/>
        </w:rPr>
      </w:pPr>
    </w:p>
    <w:p w14:paraId="6A82F47B" w14:textId="4D228E44" w:rsidR="00060B5A" w:rsidRPr="00DB6945" w:rsidRDefault="00060B5A" w:rsidP="00060B5A">
      <w:pPr>
        <w:pStyle w:val="ListParagraph"/>
        <w:widowControl w:val="0"/>
        <w:numPr>
          <w:ilvl w:val="0"/>
          <w:numId w:val="3"/>
        </w:numPr>
        <w:autoSpaceDE w:val="0"/>
        <w:autoSpaceDN w:val="0"/>
        <w:adjustRightInd w:val="0"/>
        <w:rPr>
          <w:rFonts w:cs="Calibri"/>
          <w:iCs/>
        </w:rPr>
      </w:pPr>
      <w:r w:rsidRPr="00DB6945">
        <w:rPr>
          <w:rFonts w:cs="Calibri"/>
          <w:iCs/>
        </w:rPr>
        <w:t>Introduction</w:t>
      </w:r>
    </w:p>
    <w:p w14:paraId="3F74FDBB" w14:textId="77777777" w:rsidR="00260279" w:rsidRPr="00DB6945" w:rsidRDefault="00260279" w:rsidP="00260279">
      <w:pPr>
        <w:pStyle w:val="ListParagraph"/>
        <w:numPr>
          <w:ilvl w:val="0"/>
          <w:numId w:val="3"/>
        </w:numPr>
        <w:rPr>
          <w:rFonts w:cs="Calibri"/>
          <w:iCs/>
        </w:rPr>
      </w:pPr>
      <w:r w:rsidRPr="00DB6945">
        <w:rPr>
          <w:rFonts w:cs="Calibri"/>
          <w:iCs/>
        </w:rPr>
        <w:t>Meteorological Observatory Measurements</w:t>
      </w:r>
    </w:p>
    <w:p w14:paraId="07BAE674" w14:textId="1360C897" w:rsidR="00260279" w:rsidRPr="00DB6945" w:rsidRDefault="00260279" w:rsidP="00260279">
      <w:pPr>
        <w:pStyle w:val="ListParagraph"/>
        <w:widowControl w:val="0"/>
        <w:numPr>
          <w:ilvl w:val="1"/>
          <w:numId w:val="3"/>
        </w:numPr>
        <w:autoSpaceDE w:val="0"/>
        <w:autoSpaceDN w:val="0"/>
        <w:adjustRightInd w:val="0"/>
        <w:rPr>
          <w:rFonts w:cs="Calibri"/>
          <w:iCs/>
        </w:rPr>
      </w:pPr>
      <w:r w:rsidRPr="00DB6945">
        <w:rPr>
          <w:rFonts w:cs="Calibri"/>
          <w:iCs/>
        </w:rPr>
        <w:t xml:space="preserve">Replication of Observations and QA/QC </w:t>
      </w:r>
    </w:p>
    <w:p w14:paraId="5509263A" w14:textId="77777777" w:rsidR="00260279" w:rsidRDefault="00260279" w:rsidP="00260279">
      <w:pPr>
        <w:pStyle w:val="ListParagraph"/>
        <w:numPr>
          <w:ilvl w:val="0"/>
          <w:numId w:val="3"/>
        </w:numPr>
        <w:rPr>
          <w:rFonts w:cs="Calibri"/>
          <w:iCs/>
        </w:rPr>
      </w:pPr>
      <w:r w:rsidRPr="00DB6945">
        <w:rPr>
          <w:rFonts w:cs="Calibri"/>
          <w:iCs/>
        </w:rPr>
        <w:t xml:space="preserve">Transmission of Met and </w:t>
      </w:r>
      <w:proofErr w:type="spellStart"/>
      <w:r w:rsidRPr="00DB6945">
        <w:rPr>
          <w:rFonts w:cs="Calibri"/>
          <w:iCs/>
        </w:rPr>
        <w:t>Phenocam</w:t>
      </w:r>
      <w:proofErr w:type="spellEnd"/>
      <w:r w:rsidRPr="00DB6945">
        <w:rPr>
          <w:rFonts w:cs="Calibri"/>
          <w:iCs/>
        </w:rPr>
        <w:t xml:space="preserve"> Images to NAL</w:t>
      </w:r>
    </w:p>
    <w:p w14:paraId="30DCF0E9" w14:textId="666DA32B" w:rsidR="00E92DB1" w:rsidRPr="00E92DB1" w:rsidRDefault="00E92DB1" w:rsidP="00E92DB1">
      <w:pPr>
        <w:pStyle w:val="ListParagraph"/>
        <w:numPr>
          <w:ilvl w:val="1"/>
          <w:numId w:val="3"/>
        </w:numPr>
        <w:rPr>
          <w:rFonts w:cs="Calibri"/>
          <w:iCs/>
        </w:rPr>
      </w:pPr>
      <w:r w:rsidRPr="00E92DB1">
        <w:rPr>
          <w:rFonts w:cs="Calibri"/>
          <w:iCs/>
        </w:rPr>
        <w:t>LTAR Points of Contact for Data Reformatting and Transmission</w:t>
      </w:r>
    </w:p>
    <w:p w14:paraId="72548E1D" w14:textId="77777777" w:rsidR="00E92DB1" w:rsidRPr="00E92DB1" w:rsidRDefault="00E92DB1" w:rsidP="00E92DB1">
      <w:pPr>
        <w:ind w:left="1080"/>
        <w:rPr>
          <w:rFonts w:cs="Calibri"/>
          <w:iCs/>
        </w:rPr>
      </w:pPr>
    </w:p>
    <w:p w14:paraId="62C5002C" w14:textId="77777777" w:rsidR="00060B5A" w:rsidRPr="00DB6945" w:rsidRDefault="00060B5A" w:rsidP="00060B5A">
      <w:pPr>
        <w:widowControl w:val="0"/>
        <w:autoSpaceDE w:val="0"/>
        <w:autoSpaceDN w:val="0"/>
        <w:adjustRightInd w:val="0"/>
        <w:rPr>
          <w:rFonts w:cs="Calibri"/>
          <w:iCs/>
        </w:rPr>
      </w:pPr>
    </w:p>
    <w:p w14:paraId="354B60B0" w14:textId="77777777" w:rsidR="00400D2E" w:rsidRPr="00DB6945" w:rsidRDefault="00400D2E" w:rsidP="005C184A">
      <w:pPr>
        <w:widowControl w:val="0"/>
        <w:autoSpaceDE w:val="0"/>
        <w:autoSpaceDN w:val="0"/>
        <w:adjustRightInd w:val="0"/>
        <w:rPr>
          <w:rFonts w:cs="Calibri"/>
          <w:iCs/>
        </w:rPr>
      </w:pPr>
    </w:p>
    <w:p w14:paraId="5891580F" w14:textId="77777777" w:rsidR="00213BAB" w:rsidRPr="00DB6945" w:rsidRDefault="0052562E" w:rsidP="0049003E">
      <w:pPr>
        <w:widowControl w:val="0"/>
        <w:autoSpaceDE w:val="0"/>
        <w:autoSpaceDN w:val="0"/>
        <w:adjustRightInd w:val="0"/>
        <w:ind w:firstLine="360"/>
        <w:rPr>
          <w:rFonts w:cs="Calibri"/>
          <w:iCs/>
        </w:rPr>
      </w:pPr>
      <w:r w:rsidRPr="00DB6945">
        <w:rPr>
          <w:rFonts w:cs="Calibri"/>
          <w:iCs/>
        </w:rPr>
        <w:t>Append</w:t>
      </w:r>
      <w:r w:rsidR="007A6063" w:rsidRPr="00DB6945">
        <w:rPr>
          <w:rFonts w:cs="Calibri"/>
          <w:iCs/>
        </w:rPr>
        <w:t>ix A.</w:t>
      </w:r>
      <w:r w:rsidR="007A6063" w:rsidRPr="00DB6945">
        <w:rPr>
          <w:rFonts w:cs="Calibri"/>
          <w:iCs/>
        </w:rPr>
        <w:tab/>
      </w:r>
      <w:r w:rsidR="00213BAB" w:rsidRPr="00DB6945">
        <w:rPr>
          <w:rFonts w:cs="Calibri"/>
          <w:iCs/>
        </w:rPr>
        <w:t>Breakout Group Attendees</w:t>
      </w:r>
    </w:p>
    <w:p w14:paraId="38758DFC" w14:textId="7417A49D" w:rsidR="00EF1696" w:rsidRPr="00DB6945" w:rsidRDefault="00EF1696" w:rsidP="0049003E">
      <w:pPr>
        <w:widowControl w:val="0"/>
        <w:autoSpaceDE w:val="0"/>
        <w:autoSpaceDN w:val="0"/>
        <w:adjustRightInd w:val="0"/>
        <w:ind w:firstLine="360"/>
      </w:pPr>
      <w:r w:rsidRPr="00DB6945">
        <w:rPr>
          <w:rFonts w:cs="Calibri"/>
          <w:iCs/>
        </w:rPr>
        <w:t>Appendix B.</w:t>
      </w:r>
      <w:r w:rsidRPr="00DB6945">
        <w:rPr>
          <w:rFonts w:cs="Calibri"/>
          <w:iCs/>
        </w:rPr>
        <w:tab/>
      </w:r>
      <w:proofErr w:type="spellStart"/>
      <w:r w:rsidR="00213BAB" w:rsidRPr="00DB6945">
        <w:rPr>
          <w:rFonts w:cs="Calibri"/>
          <w:iCs/>
        </w:rPr>
        <w:t>Phenocam</w:t>
      </w:r>
      <w:proofErr w:type="spellEnd"/>
      <w:r w:rsidR="00213BAB" w:rsidRPr="00DB6945">
        <w:rPr>
          <w:rFonts w:cs="Calibri"/>
          <w:iCs/>
        </w:rPr>
        <w:t xml:space="preserve"> Sensors for LTAR Tower Instrumentation</w:t>
      </w:r>
      <w:r w:rsidR="00213BAB" w:rsidRPr="00DB6945">
        <w:t xml:space="preserve"> </w:t>
      </w:r>
    </w:p>
    <w:p w14:paraId="58551EEF" w14:textId="4433381A" w:rsidR="00E040F6" w:rsidRPr="00DB6945" w:rsidRDefault="00E040F6" w:rsidP="0049003E">
      <w:pPr>
        <w:widowControl w:val="0"/>
        <w:autoSpaceDE w:val="0"/>
        <w:autoSpaceDN w:val="0"/>
        <w:adjustRightInd w:val="0"/>
        <w:ind w:firstLine="360"/>
        <w:rPr>
          <w:rFonts w:cs="Calibri"/>
          <w:iCs/>
        </w:rPr>
      </w:pPr>
      <w:r w:rsidRPr="00DB6945">
        <w:t>Appendix C.</w:t>
      </w:r>
      <w:r w:rsidRPr="00DB6945">
        <w:tab/>
        <w:t>Sampling and Reporting Guidelines</w:t>
      </w:r>
    </w:p>
    <w:p w14:paraId="5C33E16B" w14:textId="02FBF8A0" w:rsidR="003C1B37" w:rsidRPr="002A6345" w:rsidRDefault="00805228" w:rsidP="0049003E">
      <w:pPr>
        <w:widowControl w:val="0"/>
        <w:autoSpaceDE w:val="0"/>
        <w:autoSpaceDN w:val="0"/>
        <w:adjustRightInd w:val="0"/>
        <w:ind w:firstLine="360"/>
        <w:rPr>
          <w:rFonts w:cs="Calibri"/>
          <w:b/>
          <w:iCs/>
        </w:rPr>
      </w:pPr>
      <w:r w:rsidRPr="002A6345">
        <w:rPr>
          <w:rFonts w:cs="Calibri"/>
          <w:b/>
          <w:iCs/>
        </w:rPr>
        <w:tab/>
      </w:r>
    </w:p>
    <w:p w14:paraId="0A8EC93C" w14:textId="77777777" w:rsidR="00400D2E" w:rsidRPr="002A6345" w:rsidRDefault="00400D2E" w:rsidP="005C184A">
      <w:pPr>
        <w:widowControl w:val="0"/>
        <w:autoSpaceDE w:val="0"/>
        <w:autoSpaceDN w:val="0"/>
        <w:adjustRightInd w:val="0"/>
        <w:rPr>
          <w:rFonts w:cs="Calibri"/>
          <w:b/>
          <w:iCs/>
        </w:rPr>
      </w:pPr>
    </w:p>
    <w:p w14:paraId="55F60AA5" w14:textId="77777777" w:rsidR="00400D2E" w:rsidRPr="002A6345" w:rsidRDefault="00400D2E" w:rsidP="005C184A">
      <w:pPr>
        <w:widowControl w:val="0"/>
        <w:autoSpaceDE w:val="0"/>
        <w:autoSpaceDN w:val="0"/>
        <w:adjustRightInd w:val="0"/>
        <w:rPr>
          <w:rFonts w:cs="Calibri"/>
          <w:b/>
          <w:iCs/>
        </w:rPr>
      </w:pPr>
    </w:p>
    <w:p w14:paraId="2DFA90B0" w14:textId="2780A465" w:rsidR="00D97A0C" w:rsidRPr="002A6345" w:rsidRDefault="00D97A0C" w:rsidP="00FE0EBA">
      <w:pPr>
        <w:pStyle w:val="ListParagraph"/>
        <w:numPr>
          <w:ilvl w:val="0"/>
          <w:numId w:val="26"/>
        </w:numPr>
        <w:rPr>
          <w:rFonts w:cs="Calibri"/>
          <w:b/>
          <w:iCs/>
        </w:rPr>
      </w:pPr>
      <w:r w:rsidRPr="002A6345">
        <w:rPr>
          <w:rFonts w:cs="Calibri"/>
          <w:b/>
          <w:iCs/>
        </w:rPr>
        <w:br w:type="page"/>
      </w:r>
    </w:p>
    <w:p w14:paraId="008D849C" w14:textId="5D091532" w:rsidR="00D97A0C" w:rsidRPr="002A6345" w:rsidRDefault="00D97A0C" w:rsidP="00D97A0C">
      <w:pPr>
        <w:pStyle w:val="ListParagraph"/>
        <w:widowControl w:val="0"/>
        <w:numPr>
          <w:ilvl w:val="0"/>
          <w:numId w:val="4"/>
        </w:numPr>
        <w:autoSpaceDE w:val="0"/>
        <w:autoSpaceDN w:val="0"/>
        <w:adjustRightInd w:val="0"/>
        <w:ind w:left="720"/>
        <w:rPr>
          <w:rFonts w:cs="Calibri"/>
          <w:b/>
          <w:iCs/>
        </w:rPr>
      </w:pPr>
      <w:r w:rsidRPr="002A6345">
        <w:rPr>
          <w:rFonts w:cs="Calibri"/>
          <w:b/>
          <w:iCs/>
        </w:rPr>
        <w:lastRenderedPageBreak/>
        <w:t>Introduction</w:t>
      </w:r>
    </w:p>
    <w:p w14:paraId="118534DD" w14:textId="77777777" w:rsidR="00D97A0C" w:rsidRPr="002A6345" w:rsidRDefault="00D97A0C" w:rsidP="00D97A0C">
      <w:pPr>
        <w:widowControl w:val="0"/>
        <w:autoSpaceDE w:val="0"/>
        <w:autoSpaceDN w:val="0"/>
        <w:adjustRightInd w:val="0"/>
        <w:ind w:left="360"/>
        <w:rPr>
          <w:rFonts w:cs="Calibri"/>
          <w:b/>
          <w:iCs/>
        </w:rPr>
      </w:pPr>
    </w:p>
    <w:p w14:paraId="71FADF74" w14:textId="0D3580F8" w:rsidR="00191D05" w:rsidRPr="002A6345" w:rsidRDefault="00255D34" w:rsidP="00D97A0C">
      <w:pPr>
        <w:widowControl w:val="0"/>
        <w:autoSpaceDE w:val="0"/>
        <w:autoSpaceDN w:val="0"/>
        <w:adjustRightInd w:val="0"/>
        <w:rPr>
          <w:rFonts w:cs="Calibri"/>
          <w:iCs/>
        </w:rPr>
      </w:pPr>
      <w:r w:rsidRPr="002A6345">
        <w:rPr>
          <w:rFonts w:cs="Calibri"/>
          <w:iCs/>
        </w:rPr>
        <w:t>At the 2015 annual LTAR meeting in Beltsville, MD the Meteorological Breakout group (A</w:t>
      </w:r>
      <w:r w:rsidR="00D71FE0" w:rsidRPr="002A6345">
        <w:rPr>
          <w:rFonts w:cs="Calibri"/>
          <w:iCs/>
        </w:rPr>
        <w:t>ttendees in Appendix A) convened</w:t>
      </w:r>
      <w:r w:rsidRPr="002A6345">
        <w:rPr>
          <w:rFonts w:cs="Calibri"/>
          <w:iCs/>
        </w:rPr>
        <w:t xml:space="preserve"> with </w:t>
      </w:r>
      <w:r w:rsidR="00191D05" w:rsidRPr="002A6345">
        <w:rPr>
          <w:rFonts w:cs="Calibri"/>
          <w:iCs/>
        </w:rPr>
        <w:t>two major objectives.</w:t>
      </w:r>
    </w:p>
    <w:p w14:paraId="1C058E41" w14:textId="2724A64C" w:rsidR="00191D05" w:rsidRPr="002A6345" w:rsidRDefault="00191D05" w:rsidP="00191D05">
      <w:pPr>
        <w:pStyle w:val="ListParagraph"/>
        <w:widowControl w:val="0"/>
        <w:numPr>
          <w:ilvl w:val="0"/>
          <w:numId w:val="29"/>
        </w:numPr>
        <w:autoSpaceDE w:val="0"/>
        <w:autoSpaceDN w:val="0"/>
        <w:adjustRightInd w:val="0"/>
        <w:ind w:left="540" w:hanging="360"/>
        <w:rPr>
          <w:rFonts w:cs="Calibri"/>
          <w:iCs/>
        </w:rPr>
      </w:pPr>
      <w:r w:rsidRPr="002A6345">
        <w:rPr>
          <w:rFonts w:cs="Calibri"/>
          <w:iCs/>
        </w:rPr>
        <w:t xml:space="preserve">Finalize the list of observations and recommended instruments required for the meteorological observatory at each LTAR site. </w:t>
      </w:r>
    </w:p>
    <w:p w14:paraId="34B98B83" w14:textId="0917A315" w:rsidR="00191D05" w:rsidRDefault="00191D05" w:rsidP="00191D05">
      <w:pPr>
        <w:pStyle w:val="ListParagraph"/>
        <w:widowControl w:val="0"/>
        <w:numPr>
          <w:ilvl w:val="0"/>
          <w:numId w:val="29"/>
        </w:numPr>
        <w:autoSpaceDE w:val="0"/>
        <w:autoSpaceDN w:val="0"/>
        <w:adjustRightInd w:val="0"/>
        <w:ind w:left="540" w:hanging="360"/>
        <w:rPr>
          <w:rFonts w:cs="Calibri"/>
          <w:iCs/>
        </w:rPr>
      </w:pPr>
      <w:r w:rsidRPr="002A6345">
        <w:rPr>
          <w:rFonts w:cs="Calibri"/>
          <w:iCs/>
        </w:rPr>
        <w:t xml:space="preserve">Initiate discussions and procedures to supply the National Agricultural Library with a subset of meteorological observations and a </w:t>
      </w:r>
      <w:proofErr w:type="spellStart"/>
      <w:r w:rsidRPr="002A6345">
        <w:rPr>
          <w:rFonts w:cs="Calibri"/>
          <w:iCs/>
        </w:rPr>
        <w:t>phenocam</w:t>
      </w:r>
      <w:proofErr w:type="spellEnd"/>
      <w:r w:rsidRPr="002A6345">
        <w:rPr>
          <w:rFonts w:cs="Calibri"/>
          <w:iCs/>
        </w:rPr>
        <w:t xml:space="preserve"> image on a regular basis</w:t>
      </w:r>
      <w:r w:rsidR="003A1847" w:rsidRPr="002A6345">
        <w:rPr>
          <w:rFonts w:cs="Calibri"/>
          <w:iCs/>
        </w:rPr>
        <w:t xml:space="preserve"> this fiscal year</w:t>
      </w:r>
      <w:r w:rsidRPr="002A6345">
        <w:rPr>
          <w:rFonts w:cs="Calibri"/>
          <w:iCs/>
        </w:rPr>
        <w:t>.</w:t>
      </w:r>
    </w:p>
    <w:p w14:paraId="07348C74" w14:textId="4F6A7B67" w:rsidR="000871AD" w:rsidRPr="000871AD" w:rsidRDefault="000871AD" w:rsidP="000871AD">
      <w:pPr>
        <w:widowControl w:val="0"/>
        <w:autoSpaceDE w:val="0"/>
        <w:autoSpaceDN w:val="0"/>
        <w:adjustRightInd w:val="0"/>
        <w:rPr>
          <w:rFonts w:cs="Calibri"/>
          <w:iCs/>
        </w:rPr>
      </w:pPr>
    </w:p>
    <w:p w14:paraId="795CF867" w14:textId="5CA8A634" w:rsidR="00FA55B6" w:rsidRDefault="000871AD" w:rsidP="000871AD">
      <w:pPr>
        <w:widowControl w:val="0"/>
        <w:autoSpaceDE w:val="0"/>
        <w:autoSpaceDN w:val="0"/>
        <w:adjustRightInd w:val="0"/>
        <w:rPr>
          <w:rFonts w:cs="Calibri"/>
          <w:iCs/>
        </w:rPr>
      </w:pPr>
      <w:r>
        <w:rPr>
          <w:rFonts w:cs="Calibri"/>
          <w:iCs/>
        </w:rPr>
        <w:t xml:space="preserve">Some initial discussion on the LTAR </w:t>
      </w:r>
      <w:r>
        <w:rPr>
          <w:rFonts w:cs="Calibri"/>
          <w:bCs/>
          <w:iCs/>
        </w:rPr>
        <w:t>philosophy of measurement and m</w:t>
      </w:r>
      <w:r w:rsidRPr="000871AD">
        <w:rPr>
          <w:rFonts w:cs="Calibri"/>
          <w:bCs/>
          <w:iCs/>
        </w:rPr>
        <w:t>onitoring</w:t>
      </w:r>
      <w:r>
        <w:rPr>
          <w:rFonts w:cs="Calibri"/>
          <w:bCs/>
          <w:iCs/>
        </w:rPr>
        <w:t xml:space="preserve"> was conducted concluding that </w:t>
      </w:r>
      <w:r>
        <w:rPr>
          <w:rFonts w:cs="Calibri"/>
          <w:iCs/>
        </w:rPr>
        <w:t>t</w:t>
      </w:r>
      <w:r w:rsidRPr="000871AD">
        <w:rPr>
          <w:rFonts w:cs="Calibri"/>
          <w:iCs/>
        </w:rPr>
        <w:t>he most expensive aspect of the LTAR program is and will be the scientists and support staff that will be developing and analyzing the data from the network.  It is important to avoid the false economy of attempting to save money in the initial stages of LTAR development by purchasing low-cost instrumentation.  Such instruments will likely have a shorter life span, produce data with greater on unknown precision and uncertainty, require more maintenance, repair and replacement, and ultimately make it more difficult to compare results across the network.  We are hoping that the LTAR network is to be in place for decades.  We need the instrumentation to be robust and reliable so that the data have a known and consistent accuracy and uncertainty, and can be compared across the network.  Developing the network reference meteorology sites using research-quality instruments that are at least certified as “Second-Class” (not as stable, or as expensive as bench-quality instruments, but with known precision and uncertainty) will be cost effective, reliable and robust enough to provide quality data for years to come.</w:t>
      </w:r>
    </w:p>
    <w:p w14:paraId="75C4A928" w14:textId="77777777" w:rsidR="00195175" w:rsidRPr="002A6345" w:rsidRDefault="00195175" w:rsidP="00D97A0C">
      <w:pPr>
        <w:widowControl w:val="0"/>
        <w:autoSpaceDE w:val="0"/>
        <w:autoSpaceDN w:val="0"/>
        <w:adjustRightInd w:val="0"/>
        <w:rPr>
          <w:rFonts w:cs="Calibri"/>
          <w:iCs/>
        </w:rPr>
      </w:pPr>
    </w:p>
    <w:p w14:paraId="0ABBE51E" w14:textId="0ADF3B80" w:rsidR="00D97A0C" w:rsidRPr="002A6345" w:rsidRDefault="003A1847" w:rsidP="00D97A0C">
      <w:pPr>
        <w:widowControl w:val="0"/>
        <w:autoSpaceDE w:val="0"/>
        <w:autoSpaceDN w:val="0"/>
        <w:adjustRightInd w:val="0"/>
        <w:rPr>
          <w:rFonts w:cs="Calibri"/>
          <w:b/>
          <w:iCs/>
        </w:rPr>
      </w:pPr>
      <w:r w:rsidRPr="002A6345">
        <w:rPr>
          <w:rFonts w:cs="Calibri"/>
          <w:b/>
          <w:iCs/>
        </w:rPr>
        <w:t>II.</w:t>
      </w:r>
      <w:r w:rsidRPr="002A6345">
        <w:rPr>
          <w:rFonts w:cs="Calibri"/>
          <w:b/>
          <w:iCs/>
        </w:rPr>
        <w:tab/>
        <w:t>Meteorological Observatory Measurements</w:t>
      </w:r>
    </w:p>
    <w:p w14:paraId="65515CA1" w14:textId="77777777" w:rsidR="00D97A0C" w:rsidRPr="002A6345" w:rsidRDefault="00D97A0C" w:rsidP="00D97A0C">
      <w:pPr>
        <w:widowControl w:val="0"/>
        <w:autoSpaceDE w:val="0"/>
        <w:autoSpaceDN w:val="0"/>
        <w:adjustRightInd w:val="0"/>
        <w:rPr>
          <w:rFonts w:cs="Calibri"/>
          <w:b/>
          <w:iCs/>
        </w:rPr>
      </w:pPr>
    </w:p>
    <w:p w14:paraId="74E793D5" w14:textId="2F39AAA8" w:rsidR="003A1847" w:rsidRPr="002A6345" w:rsidRDefault="003A1847" w:rsidP="00D97A0C">
      <w:pPr>
        <w:widowControl w:val="0"/>
        <w:autoSpaceDE w:val="0"/>
        <w:autoSpaceDN w:val="0"/>
        <w:adjustRightInd w:val="0"/>
        <w:rPr>
          <w:rFonts w:cs="Calibri"/>
          <w:iCs/>
        </w:rPr>
      </w:pPr>
      <w:r w:rsidRPr="002A6345">
        <w:rPr>
          <w:rFonts w:cs="Calibri"/>
          <w:iCs/>
        </w:rPr>
        <w:t>Prior to the 2015 meeting most LTAR scientists considered that observations associated with the “Business as Usual” (BAU) portion of the common experiment would qualify</w:t>
      </w:r>
      <w:r w:rsidR="00321BA9" w:rsidRPr="002A6345">
        <w:rPr>
          <w:rFonts w:cs="Calibri"/>
          <w:iCs/>
        </w:rPr>
        <w:t xml:space="preserve"> as long-term observatory observations.  However, during general discussion it was pointed out that BAU would very likely change with time a</w:t>
      </w:r>
      <w:r w:rsidR="00D71FE0" w:rsidRPr="002A6345">
        <w:rPr>
          <w:rFonts w:cs="Calibri"/>
          <w:iCs/>
        </w:rPr>
        <w:t>s</w:t>
      </w:r>
      <w:r w:rsidR="00321BA9" w:rsidRPr="002A6345">
        <w:rPr>
          <w:rFonts w:cs="Calibri"/>
          <w:iCs/>
        </w:rPr>
        <w:t xml:space="preserve"> producers adapted to climate and markets.  For long-term observatory meteorological observations it was decided that they would ideally be located in a place that is controlled by the LTAR sites that would be less subject to relocation and changing conditions.  </w:t>
      </w:r>
      <w:r w:rsidR="00712C7F">
        <w:rPr>
          <w:rFonts w:cs="Calibri"/>
          <w:iCs/>
        </w:rPr>
        <w:t>The observatory M</w:t>
      </w:r>
      <w:r w:rsidR="009A57B4" w:rsidRPr="002A6345">
        <w:rPr>
          <w:rFonts w:cs="Calibri"/>
          <w:iCs/>
        </w:rPr>
        <w:t xml:space="preserve">et site is more about network inter comparability versus comparisons from BAU to IA sites.  </w:t>
      </w:r>
      <w:r w:rsidR="00321BA9" w:rsidRPr="002A6345">
        <w:rPr>
          <w:rFonts w:cs="Calibri"/>
          <w:iCs/>
        </w:rPr>
        <w:t>The meteorology observations we</w:t>
      </w:r>
      <w:r w:rsidR="00163510" w:rsidRPr="002A6345">
        <w:rPr>
          <w:rFonts w:cs="Calibri"/>
          <w:iCs/>
        </w:rPr>
        <w:t>re also confined to</w:t>
      </w:r>
      <w:r w:rsidR="00321BA9" w:rsidRPr="002A6345">
        <w:rPr>
          <w:rFonts w:cs="Calibri"/>
          <w:iCs/>
        </w:rPr>
        <w:t xml:space="preserve"> incoming drivers </w:t>
      </w:r>
      <w:r w:rsidR="00DD0EF8" w:rsidRPr="002A6345">
        <w:rPr>
          <w:rFonts w:cs="Calibri"/>
          <w:iCs/>
        </w:rPr>
        <w:t>that are</w:t>
      </w:r>
      <w:r w:rsidR="00163510" w:rsidRPr="002A6345">
        <w:rPr>
          <w:rFonts w:cs="Calibri"/>
          <w:iCs/>
        </w:rPr>
        <w:t xml:space="preserve"> relatively uniform over larger areas </w:t>
      </w:r>
      <w:r w:rsidR="00321BA9" w:rsidRPr="002A6345">
        <w:rPr>
          <w:rFonts w:cs="Calibri"/>
          <w:iCs/>
        </w:rPr>
        <w:t>and not site-specific measurements such as skin temperature and soil moisture among others</w:t>
      </w:r>
      <w:r w:rsidR="00D45B8F" w:rsidRPr="002A6345">
        <w:rPr>
          <w:rFonts w:cs="Calibri"/>
          <w:iCs/>
        </w:rPr>
        <w:t xml:space="preserve"> except where an instrument is designed to take both incoming and surface measurement (i.e. radiometers)</w:t>
      </w:r>
      <w:r w:rsidR="00321BA9" w:rsidRPr="002A6345">
        <w:rPr>
          <w:rFonts w:cs="Calibri"/>
          <w:iCs/>
        </w:rPr>
        <w:t>.  These as well as</w:t>
      </w:r>
      <w:r w:rsidR="00D45B8F" w:rsidRPr="002A6345">
        <w:rPr>
          <w:rFonts w:cs="Calibri"/>
          <w:iCs/>
        </w:rPr>
        <w:t xml:space="preserve"> meteorology observations will be made as part of met-flux towers deployed at the BAU and Intensive Agricultural (IA) experimental sites.  </w:t>
      </w:r>
    </w:p>
    <w:p w14:paraId="731F537A" w14:textId="77777777" w:rsidR="003A1847" w:rsidRPr="002A6345" w:rsidRDefault="003A1847" w:rsidP="00D97A0C">
      <w:pPr>
        <w:widowControl w:val="0"/>
        <w:autoSpaceDE w:val="0"/>
        <w:autoSpaceDN w:val="0"/>
        <w:adjustRightInd w:val="0"/>
        <w:rPr>
          <w:rFonts w:cs="Calibri"/>
          <w:iCs/>
        </w:rPr>
      </w:pPr>
    </w:p>
    <w:p w14:paraId="1BF4A84E" w14:textId="4337960E" w:rsidR="00671A3C" w:rsidRDefault="00163510" w:rsidP="00426632">
      <w:pPr>
        <w:widowControl w:val="0"/>
        <w:tabs>
          <w:tab w:val="left" w:pos="1080"/>
        </w:tabs>
        <w:autoSpaceDE w:val="0"/>
        <w:autoSpaceDN w:val="0"/>
        <w:adjustRightInd w:val="0"/>
        <w:rPr>
          <w:rFonts w:cs="Lucida Grande"/>
          <w:color w:val="000000"/>
        </w:rPr>
      </w:pPr>
      <w:r w:rsidRPr="002A6345">
        <w:rPr>
          <w:rFonts w:cs="Calibri"/>
          <w:iCs/>
        </w:rPr>
        <w:t>Table 1 contains</w:t>
      </w:r>
      <w:r w:rsidR="00671A3C" w:rsidRPr="002A6345">
        <w:rPr>
          <w:rFonts w:cs="Calibri"/>
          <w:iCs/>
        </w:rPr>
        <w:t xml:space="preserve"> the core meteorological measurements.</w:t>
      </w:r>
      <w:r w:rsidR="00BE1B48" w:rsidRPr="002A6345">
        <w:rPr>
          <w:rFonts w:cs="Calibri"/>
          <w:iCs/>
        </w:rPr>
        <w:t xml:space="preserve">  </w:t>
      </w:r>
      <w:r w:rsidR="003B59F3" w:rsidRPr="003B59F3">
        <w:rPr>
          <w:rFonts w:cs="Lucida Grande"/>
          <w:color w:val="000000"/>
          <w:u w:val="single"/>
        </w:rPr>
        <w:t>If your LTAR has an existing stable meteorology station making high-quality measurements for the variables listed in Table 1, these measurements may be used for the data stream to the National Ag. Library.</w:t>
      </w:r>
      <w:r w:rsidR="003B59F3" w:rsidRPr="00C55F24">
        <w:rPr>
          <w:rFonts w:cs="Lucida Grande"/>
          <w:color w:val="000000"/>
        </w:rPr>
        <w:t xml:space="preserve">  </w:t>
      </w:r>
      <w:r w:rsidR="00BE1B48" w:rsidRPr="002A6345">
        <w:rPr>
          <w:rFonts w:cs="Calibri"/>
          <w:iCs/>
        </w:rPr>
        <w:t>I</w:t>
      </w:r>
      <w:r w:rsidR="003B59F3">
        <w:rPr>
          <w:rFonts w:cs="Calibri"/>
          <w:iCs/>
        </w:rPr>
        <w:t xml:space="preserve">f you are starting from scratch and/or buying new instruments </w:t>
      </w:r>
      <w:r w:rsidR="00BE1B48" w:rsidRPr="002A6345">
        <w:rPr>
          <w:rFonts w:cs="Calibri"/>
          <w:iCs/>
        </w:rPr>
        <w:t>there is a recommended set of instruments in an associated s</w:t>
      </w:r>
      <w:r w:rsidR="00563AE4">
        <w:rPr>
          <w:rFonts w:cs="Calibri"/>
          <w:iCs/>
        </w:rPr>
        <w:t>preadsheet (File: LTAR-Met-July</w:t>
      </w:r>
      <w:r w:rsidR="00BE1B48" w:rsidRPr="002A6345">
        <w:rPr>
          <w:rFonts w:cs="Calibri"/>
          <w:iCs/>
        </w:rPr>
        <w:t>-2015.xlsx).</w:t>
      </w:r>
      <w:r w:rsidR="00426632" w:rsidRPr="002A6345">
        <w:rPr>
          <w:rFonts w:cs="Calibri"/>
          <w:iCs/>
        </w:rPr>
        <w:t xml:space="preserve">  </w:t>
      </w:r>
      <w:r w:rsidR="001F4348" w:rsidRPr="002A6345">
        <w:rPr>
          <w:rFonts w:cs="Calibri"/>
          <w:iCs/>
        </w:rPr>
        <w:t>This list was developed from t</w:t>
      </w:r>
      <w:r w:rsidR="00D8124C">
        <w:rPr>
          <w:rFonts w:cs="Calibri"/>
          <w:iCs/>
        </w:rPr>
        <w:t>he Smart For</w:t>
      </w:r>
      <w:r w:rsidR="001F4348" w:rsidRPr="002A6345">
        <w:rPr>
          <w:rFonts w:cs="Calibri"/>
          <w:iCs/>
        </w:rPr>
        <w:t xml:space="preserve">est (SF) list and from ARS experts </w:t>
      </w:r>
      <w:r w:rsidR="00563AE4">
        <w:rPr>
          <w:rFonts w:cs="Calibri"/>
          <w:iCs/>
        </w:rPr>
        <w:lastRenderedPageBreak/>
        <w:t xml:space="preserve">with updates for new instruments based on a thorough review by John Sadler. </w:t>
      </w:r>
      <w:r w:rsidR="00426632" w:rsidRPr="002A6345">
        <w:rPr>
          <w:rFonts w:cs="Calibri"/>
          <w:iCs/>
        </w:rPr>
        <w:t>For the measurements outlined, as well as auxiliary equipment</w:t>
      </w:r>
      <w:r w:rsidR="004B0843" w:rsidRPr="002A6345">
        <w:rPr>
          <w:rFonts w:cs="Calibri"/>
          <w:iCs/>
        </w:rPr>
        <w:t xml:space="preserve"> (mounting brackets, power sources, batteries, enclosures, etc.)</w:t>
      </w:r>
      <w:r w:rsidR="00426632" w:rsidRPr="002A6345">
        <w:rPr>
          <w:rFonts w:cs="Calibri"/>
          <w:iCs/>
        </w:rPr>
        <w:t xml:space="preserve">, there are often several options for manufacturers and suppliers for much of the equipment needed.  It matters not which manufacturer and model are used so long as they are from a reputable company with documented calibrations and specifications.  For most of these sensors, calibrations are tied to specific standards.  Likewise, field and laboratory instrument re-calibrations (or calibration checks) must follow manufacturer recommendations.  </w:t>
      </w:r>
      <w:r w:rsidR="000B7FB2">
        <w:rPr>
          <w:rFonts w:cs="Calibri"/>
          <w:iCs/>
        </w:rPr>
        <w:t xml:space="preserve">When Met instrumentation needs to be replaced for LTAR’s with existing Met instruments it is recommended that we move toward the common set of instruments listed in Table 1.  </w:t>
      </w:r>
      <w:r w:rsidR="00426632" w:rsidRPr="002A6345">
        <w:rPr>
          <w:rFonts w:cs="Calibri"/>
          <w:iCs/>
        </w:rPr>
        <w:t xml:space="preserve">If developing a new site World Meteorological Organization protocols are recommended for set-up, siting and installation (see </w:t>
      </w:r>
      <w:r w:rsidR="00426632" w:rsidRPr="002A6345">
        <w:rPr>
          <w:rFonts w:cs="Lucida Grande"/>
          <w:color w:val="000000"/>
        </w:rPr>
        <w:t>www.wmo.int/pages/prog/www/IMOP/CIMO-Guide.html - part 1, chapter 1, Figure 1-1).</w:t>
      </w:r>
      <w:r w:rsidR="004B0843" w:rsidRPr="002A6345">
        <w:rPr>
          <w:rFonts w:cs="Lucida Grande"/>
          <w:color w:val="000000"/>
        </w:rPr>
        <w:t xml:space="preserve">  In most cases manuals are ava</w:t>
      </w:r>
      <w:r w:rsidR="005D2C98" w:rsidRPr="002A6345">
        <w:rPr>
          <w:rFonts w:cs="Lucida Grande"/>
          <w:color w:val="000000"/>
        </w:rPr>
        <w:t>ilable for each instrument that</w:t>
      </w:r>
      <w:r w:rsidR="004B0843" w:rsidRPr="002A6345">
        <w:rPr>
          <w:rFonts w:cs="Lucida Grande"/>
          <w:color w:val="000000"/>
        </w:rPr>
        <w:t xml:space="preserve"> discuss accuracy, installation, maintenance, and calibration requirements.</w:t>
      </w:r>
    </w:p>
    <w:p w14:paraId="5601F6DE" w14:textId="77777777" w:rsidR="000871AD" w:rsidRDefault="000871AD" w:rsidP="00426632">
      <w:pPr>
        <w:widowControl w:val="0"/>
        <w:tabs>
          <w:tab w:val="left" w:pos="1080"/>
        </w:tabs>
        <w:autoSpaceDE w:val="0"/>
        <w:autoSpaceDN w:val="0"/>
        <w:adjustRightInd w:val="0"/>
        <w:rPr>
          <w:rFonts w:cs="Lucida Grande"/>
          <w:color w:val="000000"/>
        </w:rPr>
      </w:pPr>
    </w:p>
    <w:p w14:paraId="7DE30113" w14:textId="55AC1CDB" w:rsidR="00376B0D" w:rsidRDefault="001218F8" w:rsidP="00426632">
      <w:pPr>
        <w:widowControl w:val="0"/>
        <w:tabs>
          <w:tab w:val="left" w:pos="1080"/>
        </w:tabs>
        <w:autoSpaceDE w:val="0"/>
        <w:autoSpaceDN w:val="0"/>
        <w:adjustRightInd w:val="0"/>
        <w:rPr>
          <w:rFonts w:cs="Calibri"/>
          <w:iCs/>
        </w:rPr>
      </w:pPr>
      <w:r w:rsidRPr="002A6345">
        <w:rPr>
          <w:rFonts w:cs="Calibri"/>
          <w:iCs/>
        </w:rPr>
        <w:t xml:space="preserve">Initial imaging </w:t>
      </w:r>
      <w:r w:rsidR="00163510" w:rsidRPr="002A6345">
        <w:rPr>
          <w:rFonts w:cs="Calibri"/>
          <w:iCs/>
        </w:rPr>
        <w:t>equipment</w:t>
      </w:r>
      <w:r w:rsidR="00426632" w:rsidRPr="002A6345">
        <w:rPr>
          <w:rFonts w:cs="Calibri"/>
          <w:iCs/>
        </w:rPr>
        <w:t xml:space="preserve"> </w:t>
      </w:r>
      <w:r w:rsidR="008E148B" w:rsidRPr="002A6345">
        <w:rPr>
          <w:rFonts w:cs="Calibri"/>
          <w:iCs/>
        </w:rPr>
        <w:t>for the</w:t>
      </w:r>
      <w:r w:rsidR="00426632" w:rsidRPr="002A6345">
        <w:rPr>
          <w:rFonts w:cs="Calibri"/>
          <w:iCs/>
        </w:rPr>
        <w:t xml:space="preserve"> </w:t>
      </w:r>
      <w:r w:rsidRPr="002A6345">
        <w:rPr>
          <w:rFonts w:cs="Calibri"/>
          <w:iCs/>
        </w:rPr>
        <w:t xml:space="preserve">LTAR observatory </w:t>
      </w:r>
      <w:r w:rsidR="00426632" w:rsidRPr="002A6345">
        <w:rPr>
          <w:rFonts w:cs="Calibri"/>
          <w:iCs/>
        </w:rPr>
        <w:t>met location</w:t>
      </w:r>
      <w:r w:rsidRPr="002A6345">
        <w:rPr>
          <w:rFonts w:cs="Calibri"/>
          <w:iCs/>
        </w:rPr>
        <w:t>s</w:t>
      </w:r>
      <w:r w:rsidR="00712C7F">
        <w:rPr>
          <w:rFonts w:cs="Calibri"/>
          <w:iCs/>
        </w:rPr>
        <w:t xml:space="preserve"> will co</w:t>
      </w:r>
      <w:r w:rsidR="00426632" w:rsidRPr="002A6345">
        <w:rPr>
          <w:rFonts w:cs="Calibri"/>
          <w:iCs/>
        </w:rPr>
        <w:t xml:space="preserve">nsist of </w:t>
      </w:r>
      <w:r w:rsidR="008E148B" w:rsidRPr="002A6345">
        <w:rPr>
          <w:rFonts w:cs="Calibri"/>
          <w:iCs/>
        </w:rPr>
        <w:t xml:space="preserve">a </w:t>
      </w:r>
      <w:proofErr w:type="spellStart"/>
      <w:r w:rsidR="008E148B" w:rsidRPr="002A6345">
        <w:rPr>
          <w:rFonts w:cs="Calibri"/>
          <w:iCs/>
        </w:rPr>
        <w:t>phenocam</w:t>
      </w:r>
      <w:proofErr w:type="spellEnd"/>
      <w:r w:rsidR="00686C2A">
        <w:rPr>
          <w:rFonts w:cs="Calibri"/>
          <w:iCs/>
        </w:rPr>
        <w:t xml:space="preserve"> (</w:t>
      </w:r>
      <w:proofErr w:type="spellStart"/>
      <w:r w:rsidR="00686C2A" w:rsidRPr="00686C2A">
        <w:rPr>
          <w:rFonts w:cs="Calibri"/>
          <w:iCs/>
        </w:rPr>
        <w:t>StarDot</w:t>
      </w:r>
      <w:proofErr w:type="spellEnd"/>
      <w:r w:rsidR="00686C2A" w:rsidRPr="00686C2A">
        <w:rPr>
          <w:rFonts w:cs="Calibri"/>
          <w:iCs/>
        </w:rPr>
        <w:t xml:space="preserve"> </w:t>
      </w:r>
      <w:proofErr w:type="spellStart"/>
      <w:r w:rsidR="00686C2A" w:rsidRPr="00686C2A">
        <w:rPr>
          <w:rFonts w:cs="Calibri"/>
          <w:iCs/>
        </w:rPr>
        <w:t>NetCam</w:t>
      </w:r>
      <w:proofErr w:type="spellEnd"/>
      <w:r w:rsidR="00686C2A" w:rsidRPr="00686C2A">
        <w:rPr>
          <w:rFonts w:cs="Calibri"/>
          <w:iCs/>
        </w:rPr>
        <w:t xml:space="preserve"> SC 5.0 IR</w:t>
      </w:r>
      <w:r w:rsidR="002D1C3C">
        <w:rPr>
          <w:rStyle w:val="FootnoteReference"/>
          <w:rFonts w:cs="Calibri"/>
          <w:iCs/>
        </w:rPr>
        <w:footnoteReference w:id="1"/>
      </w:r>
      <w:r w:rsidR="00686C2A">
        <w:rPr>
          <w:rFonts w:cs="Calibri"/>
          <w:iCs/>
        </w:rPr>
        <w:t>)</w:t>
      </w:r>
      <w:r w:rsidR="00426632" w:rsidRPr="002A6345">
        <w:rPr>
          <w:rFonts w:cs="Calibri"/>
          <w:iCs/>
        </w:rPr>
        <w:t xml:space="preserve">.  The National </w:t>
      </w:r>
      <w:proofErr w:type="spellStart"/>
      <w:r w:rsidR="00426632" w:rsidRPr="002A6345">
        <w:rPr>
          <w:rFonts w:cs="Calibri"/>
          <w:iCs/>
        </w:rPr>
        <w:t>Phenocam</w:t>
      </w:r>
      <w:proofErr w:type="spellEnd"/>
      <w:r w:rsidR="00426632" w:rsidRPr="002A6345">
        <w:rPr>
          <w:rFonts w:cs="Calibri"/>
          <w:iCs/>
        </w:rPr>
        <w:t xml:space="preserve"> Network has </w:t>
      </w:r>
      <w:proofErr w:type="gramStart"/>
      <w:r w:rsidR="00426632" w:rsidRPr="002A6345">
        <w:rPr>
          <w:rFonts w:cs="Calibri"/>
          <w:iCs/>
        </w:rPr>
        <w:t>well developed</w:t>
      </w:r>
      <w:proofErr w:type="gramEnd"/>
      <w:r w:rsidR="00426632" w:rsidRPr="002A6345">
        <w:rPr>
          <w:rFonts w:cs="Calibri"/>
          <w:iCs/>
        </w:rPr>
        <w:t xml:space="preserve"> instrumentation and installation protocols (</w:t>
      </w:r>
      <w:hyperlink r:id="rId8" w:history="1">
        <w:r w:rsidR="00426632" w:rsidRPr="002A6345">
          <w:rPr>
            <w:rStyle w:val="Hyperlink"/>
          </w:rPr>
          <w:t>http://phenocam.sr.unh.edu/webcam/</w:t>
        </w:r>
      </w:hyperlink>
      <w:r w:rsidR="00163510" w:rsidRPr="002A6345">
        <w:t xml:space="preserve"> - also</w:t>
      </w:r>
      <w:r w:rsidR="00426632" w:rsidRPr="002A6345">
        <w:t xml:space="preserve"> see Appendix B for further background). </w:t>
      </w:r>
      <w:r w:rsidR="00686C2A">
        <w:t xml:space="preserve">  The frequently asked </w:t>
      </w:r>
      <w:r w:rsidR="002D1C3C">
        <w:t>section of this web site (</w:t>
      </w:r>
      <w:hyperlink r:id="rId9" w:history="1">
        <w:r w:rsidR="002D1C3C" w:rsidRPr="00376B0D">
          <w:rPr>
            <w:rStyle w:val="Hyperlink"/>
            <w:rFonts w:cs="Calibri"/>
            <w:iCs/>
          </w:rPr>
          <w:t>http://phenocam.sr.unh.edu/webcam/faq/</w:t>
        </w:r>
      </w:hyperlink>
      <w:r w:rsidR="002D1C3C">
        <w:rPr>
          <w:rFonts w:cs="Calibri"/>
          <w:iCs/>
        </w:rPr>
        <w:t>)</w:t>
      </w:r>
      <w:r w:rsidR="002D1C3C">
        <w:t xml:space="preserve"> contains valuable information including</w:t>
      </w:r>
      <w:r w:rsidR="00D75914">
        <w:t xml:space="preserve"> costs and vendor information for the ‘</w:t>
      </w:r>
      <w:r w:rsidR="00D75914" w:rsidRPr="00686C2A">
        <w:rPr>
          <w:rFonts w:cs="Calibri"/>
          <w:iCs/>
        </w:rPr>
        <w:t xml:space="preserve">standard </w:t>
      </w:r>
      <w:proofErr w:type="spellStart"/>
      <w:r w:rsidR="00D75914" w:rsidRPr="00686C2A">
        <w:rPr>
          <w:rFonts w:cs="Calibri"/>
          <w:iCs/>
        </w:rPr>
        <w:t>PhenoCam</w:t>
      </w:r>
      <w:proofErr w:type="spellEnd"/>
      <w:r w:rsidR="00D75914" w:rsidRPr="00686C2A">
        <w:rPr>
          <w:rFonts w:cs="Calibri"/>
          <w:iCs/>
        </w:rPr>
        <w:t xml:space="preserve"> 5MP bundle’</w:t>
      </w:r>
      <w:r w:rsidR="00D75914">
        <w:rPr>
          <w:rFonts w:cs="Calibri"/>
          <w:iCs/>
        </w:rPr>
        <w:t>.</w:t>
      </w:r>
      <w:r w:rsidR="00D75914" w:rsidRPr="00686C2A">
        <w:rPr>
          <w:rFonts w:cs="Calibri"/>
          <w:iCs/>
        </w:rPr>
        <w:t xml:space="preserve"> </w:t>
      </w:r>
      <w:r w:rsidR="00D75914">
        <w:rPr>
          <w:rFonts w:cs="Calibri"/>
          <w:iCs/>
        </w:rPr>
        <w:t>This</w:t>
      </w:r>
      <w:r w:rsidR="00376B0D" w:rsidRPr="00376B0D">
        <w:rPr>
          <w:rFonts w:cs="Calibri"/>
          <w:iCs/>
        </w:rPr>
        <w:t xml:space="preserve"> web site </w:t>
      </w:r>
      <w:r w:rsidR="00D75914">
        <w:rPr>
          <w:rFonts w:cs="Calibri"/>
          <w:iCs/>
        </w:rPr>
        <w:t>(</w:t>
      </w:r>
      <w:hyperlink r:id="rId10" w:history="1">
        <w:r w:rsidR="00D75914" w:rsidRPr="00376B0D">
          <w:rPr>
            <w:rStyle w:val="Hyperlink"/>
            <w:rFonts w:cs="Calibri"/>
            <w:iCs/>
          </w:rPr>
          <w:t>https://sites.google.com/site/phenocamdatalogger/fileexchange</w:t>
        </w:r>
      </w:hyperlink>
      <w:r w:rsidR="00D75914">
        <w:rPr>
          <w:rFonts w:cs="Calibri"/>
          <w:iCs/>
        </w:rPr>
        <w:t xml:space="preserve">) </w:t>
      </w:r>
      <w:r w:rsidR="00376B0D" w:rsidRPr="00376B0D">
        <w:rPr>
          <w:rFonts w:cs="Calibri"/>
          <w:iCs/>
        </w:rPr>
        <w:t xml:space="preserve">gives some critical information about how to handle </w:t>
      </w:r>
      <w:proofErr w:type="spellStart"/>
      <w:r w:rsidR="00376B0D" w:rsidRPr="00376B0D">
        <w:rPr>
          <w:rFonts w:cs="Calibri"/>
          <w:iCs/>
        </w:rPr>
        <w:t>Phenocam</w:t>
      </w:r>
      <w:proofErr w:type="spellEnd"/>
      <w:r w:rsidR="00376B0D" w:rsidRPr="00376B0D">
        <w:rPr>
          <w:rFonts w:cs="Calibri"/>
          <w:iCs/>
        </w:rPr>
        <w:t xml:space="preserve"> images with CSI loggers. It has a </w:t>
      </w:r>
      <w:proofErr w:type="spellStart"/>
      <w:r w:rsidR="00376B0D" w:rsidRPr="00376B0D">
        <w:rPr>
          <w:rFonts w:cs="Calibri"/>
          <w:iCs/>
        </w:rPr>
        <w:t>pdf</w:t>
      </w:r>
      <w:proofErr w:type="spellEnd"/>
      <w:r w:rsidR="00376B0D" w:rsidRPr="00376B0D">
        <w:rPr>
          <w:rFonts w:cs="Calibri"/>
          <w:iCs/>
        </w:rPr>
        <w:t xml:space="preserve"> of some blog dialog explaining things, and the CR1000 coding to get it done. </w:t>
      </w:r>
      <w:r w:rsidR="00580DED">
        <w:rPr>
          <w:rFonts w:cs="Calibri"/>
          <w:iCs/>
        </w:rPr>
        <w:t xml:space="preserve">The </w:t>
      </w:r>
      <w:proofErr w:type="spellStart"/>
      <w:r w:rsidR="00580DED">
        <w:rPr>
          <w:rFonts w:cs="Calibri"/>
          <w:iCs/>
        </w:rPr>
        <w:t>phenocams</w:t>
      </w:r>
      <w:proofErr w:type="spellEnd"/>
      <w:r w:rsidR="00580DED">
        <w:rPr>
          <w:rFonts w:cs="Calibri"/>
          <w:iCs/>
        </w:rPr>
        <w:t xml:space="preserve"> received by the Walnut Gulch LTAR </w:t>
      </w:r>
      <w:r w:rsidR="00580DED" w:rsidRPr="00376B0D">
        <w:rPr>
          <w:rFonts w:cs="Calibri"/>
          <w:iCs/>
        </w:rPr>
        <w:t xml:space="preserve">came preloaded with settings that enable them to upload images directly to UNH’s FTP server.  </w:t>
      </w:r>
      <w:r w:rsidR="00580DED">
        <w:rPr>
          <w:rFonts w:cs="Calibri"/>
          <w:iCs/>
        </w:rPr>
        <w:t xml:space="preserve">Currently the </w:t>
      </w:r>
      <w:r w:rsidR="006B6640">
        <w:rPr>
          <w:rFonts w:cs="Calibri"/>
          <w:iCs/>
        </w:rPr>
        <w:t>Walnut Gulch LTAR site (</w:t>
      </w:r>
      <w:r w:rsidR="00580DED">
        <w:rPr>
          <w:rFonts w:cs="Calibri"/>
          <w:iCs/>
        </w:rPr>
        <w:t>USDA-ARS Tucson, AZ</w:t>
      </w:r>
      <w:r w:rsidR="006B6640">
        <w:rPr>
          <w:rFonts w:cs="Calibri"/>
          <w:iCs/>
        </w:rPr>
        <w:t>)</w:t>
      </w:r>
      <w:r w:rsidR="00580DED">
        <w:rPr>
          <w:rFonts w:cs="Calibri"/>
          <w:iCs/>
        </w:rPr>
        <w:t xml:space="preserve"> </w:t>
      </w:r>
      <w:r w:rsidR="006B6640">
        <w:rPr>
          <w:rFonts w:cs="Calibri"/>
          <w:iCs/>
        </w:rPr>
        <w:t>has its web site is</w:t>
      </w:r>
      <w:r w:rsidR="00580DED">
        <w:rPr>
          <w:rFonts w:cs="Calibri"/>
          <w:iCs/>
        </w:rPr>
        <w:t xml:space="preserve"> linked </w:t>
      </w:r>
      <w:r w:rsidR="00580DED" w:rsidRPr="00376B0D">
        <w:rPr>
          <w:rFonts w:cs="Calibri"/>
          <w:iCs/>
        </w:rPr>
        <w:t>directly to the latest image on that server</w:t>
      </w:r>
      <w:r w:rsidR="00580DED">
        <w:rPr>
          <w:rFonts w:cs="Calibri"/>
          <w:iCs/>
        </w:rPr>
        <w:t xml:space="preserve">. They </w:t>
      </w:r>
      <w:r w:rsidR="00580DED" w:rsidRPr="00376B0D">
        <w:rPr>
          <w:rFonts w:cs="Calibri"/>
          <w:iCs/>
        </w:rPr>
        <w:t xml:space="preserve">can either </w:t>
      </w:r>
      <w:r w:rsidR="00580DED">
        <w:rPr>
          <w:rFonts w:cs="Calibri"/>
          <w:iCs/>
        </w:rPr>
        <w:t>be</w:t>
      </w:r>
      <w:r w:rsidR="00580DED" w:rsidRPr="00376B0D">
        <w:rPr>
          <w:rFonts w:cs="Calibri"/>
          <w:iCs/>
        </w:rPr>
        <w:t xml:space="preserve"> pull</w:t>
      </w:r>
      <w:r w:rsidR="00580DED">
        <w:rPr>
          <w:rFonts w:cs="Calibri"/>
          <w:iCs/>
        </w:rPr>
        <w:t>ed off that site</w:t>
      </w:r>
      <w:r w:rsidR="00580DED" w:rsidRPr="00376B0D">
        <w:rPr>
          <w:rFonts w:cs="Calibri"/>
          <w:iCs/>
        </w:rPr>
        <w:t xml:space="preserve"> or we could also program them to send them direct</w:t>
      </w:r>
      <w:r w:rsidR="00580DED">
        <w:rPr>
          <w:rFonts w:cs="Calibri"/>
          <w:iCs/>
        </w:rPr>
        <w:t>ly to another ftp site.</w:t>
      </w:r>
    </w:p>
    <w:p w14:paraId="08AD2D7B" w14:textId="77777777" w:rsidR="00376B0D" w:rsidRPr="002A6345" w:rsidRDefault="00376B0D" w:rsidP="00426632">
      <w:pPr>
        <w:widowControl w:val="0"/>
        <w:tabs>
          <w:tab w:val="left" w:pos="1080"/>
        </w:tabs>
        <w:autoSpaceDE w:val="0"/>
        <w:autoSpaceDN w:val="0"/>
        <w:adjustRightInd w:val="0"/>
        <w:rPr>
          <w:rFonts w:cs="Calibri"/>
          <w:iCs/>
        </w:rPr>
      </w:pPr>
    </w:p>
    <w:p w14:paraId="4D0D27E7" w14:textId="68E04CD5" w:rsidR="00520F9E" w:rsidRPr="002A6345" w:rsidRDefault="00612228" w:rsidP="000D38B5">
      <w:pPr>
        <w:widowControl w:val="0"/>
        <w:tabs>
          <w:tab w:val="left" w:pos="1080"/>
        </w:tabs>
        <w:autoSpaceDE w:val="0"/>
        <w:autoSpaceDN w:val="0"/>
        <w:adjustRightInd w:val="0"/>
        <w:rPr>
          <w:rFonts w:cs="Lucida Grande"/>
          <w:color w:val="000000"/>
        </w:rPr>
      </w:pPr>
      <w:r w:rsidRPr="00C55F24">
        <w:rPr>
          <w:rFonts w:cs="Lucida Grande"/>
          <w:color w:val="000000"/>
        </w:rPr>
        <w:t>T</w:t>
      </w:r>
      <w:r w:rsidR="00195175" w:rsidRPr="00C55F24">
        <w:rPr>
          <w:rFonts w:cs="Lucida Grande"/>
          <w:color w:val="000000"/>
        </w:rPr>
        <w:t xml:space="preserve">o meet the requirements of getting near real-time data to NAL the </w:t>
      </w:r>
      <w:r w:rsidRPr="00C55F24">
        <w:rPr>
          <w:rFonts w:cs="Lucida Grande"/>
          <w:color w:val="000000"/>
        </w:rPr>
        <w:t xml:space="preserve">LTAR </w:t>
      </w:r>
      <w:r w:rsidR="00195175" w:rsidRPr="00C55F24">
        <w:rPr>
          <w:rFonts w:cs="Lucida Grande"/>
          <w:color w:val="000000"/>
        </w:rPr>
        <w:t xml:space="preserve">met station </w:t>
      </w:r>
      <w:r w:rsidRPr="00C55F24">
        <w:rPr>
          <w:rFonts w:cs="Lucida Grande"/>
          <w:color w:val="000000"/>
        </w:rPr>
        <w:t xml:space="preserve">designated as your long-term observatory station (if you have more than one) </w:t>
      </w:r>
      <w:r w:rsidR="00195175" w:rsidRPr="00C55F24">
        <w:rPr>
          <w:rFonts w:cs="Lucida Grande"/>
          <w:color w:val="000000"/>
        </w:rPr>
        <w:t>must</w:t>
      </w:r>
      <w:r w:rsidR="00195175">
        <w:rPr>
          <w:rFonts w:cs="Lucida Grande"/>
          <w:color w:val="000000"/>
        </w:rPr>
        <w:t xml:space="preserve"> be equipped with radio or cell-based telemetry that will transmit data on at least an hourly basis.  </w:t>
      </w:r>
      <w:r w:rsidR="006B6640">
        <w:rPr>
          <w:rFonts w:cs="Lucida Grande"/>
          <w:color w:val="000000"/>
        </w:rPr>
        <w:t xml:space="preserve">For the purposes of the FY15 pilot project if daily data are currently transmitted that will be acceptable. </w:t>
      </w:r>
      <w:r w:rsidR="00195175">
        <w:rPr>
          <w:rFonts w:cs="Lucida Grande"/>
          <w:color w:val="000000"/>
        </w:rPr>
        <w:t>In addition, c</w:t>
      </w:r>
      <w:r w:rsidR="002A6345" w:rsidRPr="002A6345">
        <w:rPr>
          <w:rFonts w:cs="Lucida Grande"/>
          <w:color w:val="000000"/>
        </w:rPr>
        <w:t xml:space="preserve">omplete metadata will need to be developed for each </w:t>
      </w:r>
      <w:r w:rsidR="0067450E">
        <w:rPr>
          <w:rFonts w:cs="Lucida Grande"/>
          <w:color w:val="000000"/>
        </w:rPr>
        <w:t>LTAR met station.  Metadata requirement must still be developed or adopted from an acceptable standard</w:t>
      </w:r>
      <w:r w:rsidR="00C55F24">
        <w:rPr>
          <w:rFonts w:cs="Lucida Grande"/>
          <w:color w:val="000000"/>
        </w:rPr>
        <w:t xml:space="preserve"> (see companion document</w:t>
      </w:r>
      <w:r w:rsidR="00C55F24">
        <w:t xml:space="preserve"> entitled “</w:t>
      </w:r>
      <w:r w:rsidR="00C55F24" w:rsidRPr="006B6640">
        <w:t>LTAR Common Observatory</w:t>
      </w:r>
      <w:r w:rsidR="00C55F24">
        <w:t xml:space="preserve"> </w:t>
      </w:r>
      <w:r w:rsidR="00C55F24" w:rsidRPr="006B6640">
        <w:t>Meteorology Data Concept of Operations</w:t>
      </w:r>
      <w:r w:rsidR="00C55F24">
        <w:t>” for more on metadata)</w:t>
      </w:r>
      <w:r w:rsidR="0067450E">
        <w:rPr>
          <w:rFonts w:cs="Lucida Grande"/>
          <w:color w:val="000000"/>
        </w:rPr>
        <w:t>.</w:t>
      </w:r>
    </w:p>
    <w:p w14:paraId="0CC0A250" w14:textId="77777777" w:rsidR="00520F9E" w:rsidRDefault="00520F9E" w:rsidP="008E148B"/>
    <w:p w14:paraId="4C9030DE" w14:textId="41E21DD5" w:rsidR="00520F9E" w:rsidRDefault="00520F9E" w:rsidP="008E148B">
      <w:proofErr w:type="spellStart"/>
      <w:r>
        <w:t>IIa</w:t>
      </w:r>
      <w:proofErr w:type="spellEnd"/>
      <w:r>
        <w:t>.</w:t>
      </w:r>
      <w:r>
        <w:tab/>
      </w:r>
      <w:r w:rsidR="008E148B">
        <w:t xml:space="preserve">Replication </w:t>
      </w:r>
      <w:r>
        <w:t xml:space="preserve">of Observations </w:t>
      </w:r>
      <w:r w:rsidR="001218F8">
        <w:t xml:space="preserve">and </w:t>
      </w:r>
      <w:r w:rsidR="000D38B5">
        <w:t xml:space="preserve">QA/QC </w:t>
      </w:r>
    </w:p>
    <w:p w14:paraId="332E0C44" w14:textId="77777777" w:rsidR="00520F9E" w:rsidRDefault="00520F9E" w:rsidP="008E148B"/>
    <w:p w14:paraId="7DC96DA4" w14:textId="58AECAC3" w:rsidR="00520F9E" w:rsidRDefault="00520F9E" w:rsidP="008E148B">
      <w:r>
        <w:t xml:space="preserve">Replication of observations </w:t>
      </w:r>
      <w:r w:rsidR="008E148B">
        <w:t xml:space="preserve">is important in order to fill </w:t>
      </w:r>
      <w:r w:rsidR="00163510">
        <w:t xml:space="preserve">data gaps </w:t>
      </w:r>
      <w:r w:rsidR="008E148B">
        <w:t xml:space="preserve">when </w:t>
      </w:r>
      <w:r w:rsidR="00163510">
        <w:t xml:space="preserve">an </w:t>
      </w:r>
      <w:r w:rsidR="00A05D64">
        <w:t xml:space="preserve">instrument goes down. </w:t>
      </w:r>
      <w:r>
        <w:t>Minimizing loss of data is a function of both instrument redundancy and the ability to quickly detect and replace bad instruments.</w:t>
      </w:r>
      <w:r w:rsidR="00163510">
        <w:t xml:space="preserve">  If your LTAR site does not have a current met station it is recommended that two of each instrument be purchased an</w:t>
      </w:r>
      <w:r w:rsidR="00A05D64">
        <w:t>d co-</w:t>
      </w:r>
      <w:r w:rsidR="00A05D64">
        <w:lastRenderedPageBreak/>
        <w:t>located at the same site. If r</w:t>
      </w:r>
      <w:r w:rsidR="00A05D64" w:rsidRPr="00A05D64">
        <w:t xml:space="preserve">eplicate instruments </w:t>
      </w:r>
      <w:r w:rsidR="00A05D64">
        <w:t xml:space="preserve">are deployed in this manner they </w:t>
      </w:r>
      <w:r w:rsidR="00A05D64" w:rsidRPr="00A05D64">
        <w:t>must be calibrated and maintained in tandem</w:t>
      </w:r>
      <w:r w:rsidR="00A05D64">
        <w:t xml:space="preserve">. </w:t>
      </w:r>
      <w:r w:rsidR="00163510">
        <w:t>If you have two existing met stations that are reasonably close to together they can be used to cross-check one another and supply a degree of redun</w:t>
      </w:r>
      <w:r w:rsidR="000D38B5">
        <w:t xml:space="preserve">dancy.  To minimize data loss it is essential that the data be viewed (graphically is preferred) as well as system indicators such a battery voltages.  </w:t>
      </w:r>
    </w:p>
    <w:p w14:paraId="7C34B5F9" w14:textId="77777777" w:rsidR="00BB5AF3" w:rsidRDefault="00BB5AF3" w:rsidP="001218F8"/>
    <w:p w14:paraId="2BE84602" w14:textId="467A943C" w:rsidR="006B6640" w:rsidRPr="006B6640" w:rsidRDefault="000D38B5" w:rsidP="006B6640">
      <w:r>
        <w:t xml:space="preserve">Network wide QA/QC procedures and software will be developed.  USFS Smart Forest has a </w:t>
      </w:r>
      <w:proofErr w:type="spellStart"/>
      <w:r>
        <w:t>Matlab</w:t>
      </w:r>
      <w:proofErr w:type="spellEnd"/>
      <w:r>
        <w:t xml:space="preserve"> based program that they reviewed and is now used routinely for their locations.  Dr. Lindsay </w:t>
      </w:r>
      <w:proofErr w:type="spellStart"/>
      <w:r>
        <w:t>Rustad</w:t>
      </w:r>
      <w:proofErr w:type="spellEnd"/>
      <w:r>
        <w:t>, who leads the Smart Forest effort, noted</w:t>
      </w:r>
      <w:r w:rsidR="00A05D64">
        <w:t xml:space="preserve"> that this program </w:t>
      </w:r>
      <w:proofErr w:type="gramStart"/>
      <w:r w:rsidR="00A05D64">
        <w:t>will</w:t>
      </w:r>
      <w:proofErr w:type="gramEnd"/>
      <w:r w:rsidR="00A05D64">
        <w:t xml:space="preserve"> routinely flag about 70% of problem data but still recommend a daily visual check of that data.  Participants noted the expense o</w:t>
      </w:r>
      <w:r w:rsidR="00C55F24">
        <w:t xml:space="preserve">f a </w:t>
      </w:r>
      <w:proofErr w:type="spellStart"/>
      <w:r w:rsidR="00C55F24">
        <w:t>Matlab</w:t>
      </w:r>
      <w:proofErr w:type="spellEnd"/>
      <w:r w:rsidR="00C55F24">
        <w:t xml:space="preserve"> at each location may</w:t>
      </w:r>
      <w:r w:rsidR="00A05D64">
        <w:t xml:space="preserve">be prohibitive.  Whether a central </w:t>
      </w:r>
      <w:proofErr w:type="spellStart"/>
      <w:r w:rsidR="00A05D64">
        <w:t>Matlab</w:t>
      </w:r>
      <w:proofErr w:type="spellEnd"/>
      <w:r w:rsidR="00A05D64">
        <w:t xml:space="preserve"> license at NAL would addr</w:t>
      </w:r>
      <w:r w:rsidR="006B6640">
        <w:t>ess this issue will be explored (see document entitled “</w:t>
      </w:r>
      <w:r w:rsidR="006B6640" w:rsidRPr="006B6640">
        <w:t>LTAR Common Observatory</w:t>
      </w:r>
      <w:r w:rsidR="006B6640">
        <w:t xml:space="preserve"> </w:t>
      </w:r>
      <w:r w:rsidR="006B6640" w:rsidRPr="006B6640">
        <w:t>Meteorology Data Concept of Operations</w:t>
      </w:r>
      <w:r w:rsidR="00C55F24">
        <w:t>” for more on</w:t>
      </w:r>
      <w:r w:rsidR="006B6640">
        <w:t xml:space="preserve"> QA/QC discussion).</w:t>
      </w:r>
    </w:p>
    <w:p w14:paraId="0F01C8C9" w14:textId="77777777" w:rsidR="00B50EE7" w:rsidRDefault="00B50EE7" w:rsidP="00426632">
      <w:pPr>
        <w:widowControl w:val="0"/>
        <w:tabs>
          <w:tab w:val="left" w:pos="1080"/>
        </w:tabs>
        <w:autoSpaceDE w:val="0"/>
        <w:autoSpaceDN w:val="0"/>
        <w:adjustRightInd w:val="0"/>
        <w:rPr>
          <w:rFonts w:ascii="Calibri" w:hAnsi="Calibri" w:cs="Calibri"/>
          <w:iCs/>
        </w:rPr>
      </w:pPr>
    </w:p>
    <w:p w14:paraId="28608F5C" w14:textId="3E11EF8F" w:rsidR="00B50EE7" w:rsidRDefault="00B50EE7" w:rsidP="00B50EE7">
      <w:r>
        <w:t>Table 1. LTAR Observatory Meteorological Measurements</w:t>
      </w:r>
      <w:r w:rsidR="000B7FB2">
        <w:t xml:space="preserve"> (See File: LTAR-Met-July</w:t>
      </w:r>
      <w:r w:rsidR="00D53C8A">
        <w:t>-2015</w:t>
      </w:r>
      <w:r w:rsidR="000B7FB2">
        <w:t>.xl</w:t>
      </w:r>
      <w:r w:rsidR="00D53C8A">
        <w:t>sx for recommended instruments to make these measurements)</w:t>
      </w:r>
    </w:p>
    <w:p w14:paraId="52808AFB" w14:textId="77777777" w:rsidR="00B50EE7" w:rsidRDefault="00B50EE7" w:rsidP="00426632">
      <w:pPr>
        <w:widowControl w:val="0"/>
        <w:tabs>
          <w:tab w:val="left" w:pos="1080"/>
        </w:tabs>
        <w:autoSpaceDE w:val="0"/>
        <w:autoSpaceDN w:val="0"/>
        <w:adjustRightInd w:val="0"/>
        <w:rPr>
          <w:rFonts w:ascii="Calibri" w:hAnsi="Calibri" w:cs="Calibri"/>
          <w:iCs/>
        </w:rPr>
      </w:pPr>
    </w:p>
    <w:p w14:paraId="23A94F5F" w14:textId="6795ABD1" w:rsidR="00D178E1" w:rsidRPr="00C55F24" w:rsidRDefault="00671A3C" w:rsidP="00260279">
      <w:pPr>
        <w:widowControl w:val="0"/>
        <w:autoSpaceDE w:val="0"/>
        <w:autoSpaceDN w:val="0"/>
        <w:adjustRightInd w:val="0"/>
        <w:rPr>
          <w:rFonts w:ascii="Calibri" w:hAnsi="Calibri" w:cs="Calibri"/>
          <w:iCs/>
        </w:rPr>
      </w:pPr>
      <w:r>
        <w:rPr>
          <w:rFonts w:ascii="Calibri" w:hAnsi="Calibri" w:cs="Calibri"/>
          <w:iCs/>
          <w:noProof/>
        </w:rPr>
        <w:drawing>
          <wp:inline distT="0" distB="0" distL="0" distR="0" wp14:anchorId="0B0ACD6C" wp14:editId="2750B5EA">
            <wp:extent cx="5417175" cy="451231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7550" cy="4512623"/>
                    </a:xfrm>
                    <a:prstGeom prst="rect">
                      <a:avLst/>
                    </a:prstGeom>
                    <a:noFill/>
                    <a:ln>
                      <a:noFill/>
                    </a:ln>
                  </pic:spPr>
                </pic:pic>
              </a:graphicData>
            </a:graphic>
          </wp:inline>
        </w:drawing>
      </w:r>
    </w:p>
    <w:p w14:paraId="3156AFE0" w14:textId="77777777" w:rsidR="00D178E1" w:rsidRDefault="00D178E1" w:rsidP="00260279">
      <w:pPr>
        <w:widowControl w:val="0"/>
        <w:autoSpaceDE w:val="0"/>
        <w:autoSpaceDN w:val="0"/>
        <w:adjustRightInd w:val="0"/>
        <w:rPr>
          <w:rFonts w:ascii="Calibri" w:hAnsi="Calibri" w:cs="Calibri"/>
          <w:b/>
          <w:iCs/>
        </w:rPr>
      </w:pPr>
    </w:p>
    <w:p w14:paraId="54937791" w14:textId="1385E4BB" w:rsidR="001F4348" w:rsidRPr="00CA6050" w:rsidRDefault="001F4348" w:rsidP="00CA6050">
      <w:pPr>
        <w:rPr>
          <w:rFonts w:cs="Calibri"/>
          <w:b/>
          <w:iCs/>
        </w:rPr>
      </w:pPr>
      <w:r w:rsidRPr="00CA6050">
        <w:rPr>
          <w:rFonts w:cs="Calibri"/>
          <w:b/>
          <w:iCs/>
        </w:rPr>
        <w:t>III.</w:t>
      </w:r>
      <w:r w:rsidRPr="00CA6050">
        <w:rPr>
          <w:rFonts w:cs="Calibri"/>
          <w:b/>
          <w:iCs/>
        </w:rPr>
        <w:tab/>
        <w:t xml:space="preserve">Transmission of </w:t>
      </w:r>
      <w:r w:rsidR="004D0009" w:rsidRPr="00CA6050">
        <w:rPr>
          <w:rFonts w:cs="Calibri"/>
          <w:b/>
          <w:iCs/>
        </w:rPr>
        <w:t xml:space="preserve">a Subset of </w:t>
      </w:r>
      <w:r w:rsidRPr="00CA6050">
        <w:rPr>
          <w:rFonts w:cs="Calibri"/>
          <w:b/>
          <w:iCs/>
        </w:rPr>
        <w:t xml:space="preserve">Met </w:t>
      </w:r>
      <w:r w:rsidR="004D0009" w:rsidRPr="00CA6050">
        <w:rPr>
          <w:rFonts w:cs="Calibri"/>
          <w:b/>
          <w:iCs/>
        </w:rPr>
        <w:t xml:space="preserve">Observations </w:t>
      </w:r>
      <w:r w:rsidRPr="00CA6050">
        <w:rPr>
          <w:rFonts w:cs="Calibri"/>
          <w:b/>
          <w:iCs/>
        </w:rPr>
        <w:t xml:space="preserve">and </w:t>
      </w:r>
      <w:proofErr w:type="spellStart"/>
      <w:r w:rsidRPr="00CA6050">
        <w:rPr>
          <w:rFonts w:cs="Calibri"/>
          <w:b/>
          <w:iCs/>
        </w:rPr>
        <w:t>Phenocam</w:t>
      </w:r>
      <w:proofErr w:type="spellEnd"/>
      <w:r w:rsidRPr="00CA6050">
        <w:rPr>
          <w:rFonts w:cs="Calibri"/>
          <w:b/>
          <w:iCs/>
        </w:rPr>
        <w:t xml:space="preserve"> Images to NAL</w:t>
      </w:r>
    </w:p>
    <w:p w14:paraId="4F5EC107" w14:textId="77777777" w:rsidR="00520078" w:rsidRPr="00CA6050" w:rsidRDefault="00520078" w:rsidP="00CA6050">
      <w:pPr>
        <w:rPr>
          <w:rFonts w:cs="Calibri"/>
          <w:iCs/>
        </w:rPr>
      </w:pPr>
    </w:p>
    <w:p w14:paraId="778096CF" w14:textId="57657C62" w:rsidR="00195175" w:rsidRPr="00CA6050" w:rsidRDefault="00195175" w:rsidP="00CA6050">
      <w:pPr>
        <w:rPr>
          <w:rFonts w:cs="Calibri"/>
          <w:iCs/>
        </w:rPr>
      </w:pPr>
      <w:r w:rsidRPr="00CA6050">
        <w:rPr>
          <w:rFonts w:cs="Calibri"/>
          <w:iCs/>
        </w:rPr>
        <w:t xml:space="preserve">The group then discussed what observations would be selected for the prototype effort to stream near real-time data to NAL for ingestion and display through a NAL – URL.  </w:t>
      </w:r>
      <w:r w:rsidR="00B76E72" w:rsidRPr="00CA6050">
        <w:rPr>
          <w:rFonts w:cs="Calibri"/>
          <w:iCs/>
        </w:rPr>
        <w:t>At this time, for the demonstration</w:t>
      </w:r>
      <w:r w:rsidR="00C55F24" w:rsidRPr="00CA6050">
        <w:rPr>
          <w:rFonts w:cs="Calibri"/>
          <w:iCs/>
        </w:rPr>
        <w:t>,</w:t>
      </w:r>
      <w:r w:rsidR="00B76E72" w:rsidRPr="00CA6050">
        <w:rPr>
          <w:rFonts w:cs="Calibri"/>
          <w:iCs/>
        </w:rPr>
        <w:t xml:space="preserve"> the observations for the variables can be instantaneous </w:t>
      </w:r>
      <w:r w:rsidR="00B76E72" w:rsidRPr="00CA6050">
        <w:rPr>
          <w:rFonts w:cs="Calibri"/>
          <w:iCs/>
        </w:rPr>
        <w:lastRenderedPageBreak/>
        <w:t xml:space="preserve">values or averages over </w:t>
      </w:r>
      <w:r w:rsidR="00C55F24" w:rsidRPr="00CA6050">
        <w:rPr>
          <w:rFonts w:cs="Calibri"/>
          <w:iCs/>
        </w:rPr>
        <w:t>a 15 min reporting interval</w:t>
      </w:r>
      <w:r w:rsidR="00B76E72" w:rsidRPr="00CA6050">
        <w:rPr>
          <w:rFonts w:cs="Calibri"/>
          <w:iCs/>
        </w:rPr>
        <w:t>.  In the case of precipitation the quantity reported would be the accumulated precipitation over 1</w:t>
      </w:r>
      <w:r w:rsidR="00C55F24" w:rsidRPr="00CA6050">
        <w:rPr>
          <w:rFonts w:cs="Calibri"/>
          <w:iCs/>
        </w:rPr>
        <w:t>5 minutes</w:t>
      </w:r>
      <w:r w:rsidR="00B76E72" w:rsidRPr="00CA6050">
        <w:rPr>
          <w:rFonts w:cs="Calibri"/>
          <w:iCs/>
        </w:rPr>
        <w:t>.</w:t>
      </w:r>
    </w:p>
    <w:p w14:paraId="6541D5C8" w14:textId="77777777" w:rsidR="0079307D" w:rsidRDefault="00195175" w:rsidP="00260279">
      <w:pPr>
        <w:widowControl w:val="0"/>
        <w:autoSpaceDE w:val="0"/>
        <w:autoSpaceDN w:val="0"/>
        <w:adjustRightInd w:val="0"/>
        <w:rPr>
          <w:rFonts w:ascii="Calibri" w:hAnsi="Calibri" w:cs="Calibri"/>
          <w:iCs/>
        </w:rPr>
      </w:pPr>
      <w:r w:rsidRPr="00195175">
        <w:rPr>
          <w:rFonts w:ascii="Calibri" w:hAnsi="Calibri" w:cs="Calibri"/>
          <w:iCs/>
        </w:rPr>
        <w:tab/>
      </w:r>
    </w:p>
    <w:p w14:paraId="5DA57FF5" w14:textId="77777777" w:rsidR="0079307D" w:rsidRPr="00B24FAE" w:rsidRDefault="0079307D" w:rsidP="00B24FAE">
      <w:pPr>
        <w:rPr>
          <w:rFonts w:cs="Calibri"/>
          <w:iCs/>
        </w:rPr>
      </w:pPr>
    </w:p>
    <w:p w14:paraId="16111D52" w14:textId="0B1FF2DA" w:rsidR="00B24FAE" w:rsidRDefault="00B24FAE" w:rsidP="00B24FAE">
      <w:pPr>
        <w:rPr>
          <w:rFonts w:cs="Calibri"/>
          <w:iCs/>
        </w:rPr>
      </w:pPr>
      <w:bookmarkStart w:id="0" w:name="_Toc420535534"/>
      <w:r w:rsidRPr="00B24FAE">
        <w:rPr>
          <w:rFonts w:cs="Calibri"/>
          <w:iCs/>
        </w:rPr>
        <w:t xml:space="preserve">Table 2. Meteorological </w:t>
      </w:r>
      <w:r>
        <w:rPr>
          <w:rFonts w:cs="Calibri"/>
          <w:iCs/>
        </w:rPr>
        <w:t>Measurements for Transmission to NAL</w:t>
      </w:r>
      <w:bookmarkEnd w:id="0"/>
    </w:p>
    <w:p w14:paraId="04EDBA1B" w14:textId="77777777" w:rsidR="00B24FAE" w:rsidRPr="00B24FAE" w:rsidRDefault="00B24FAE" w:rsidP="00B24FAE">
      <w:pPr>
        <w:rPr>
          <w:rFonts w:cs="Calibri"/>
          <w:iCs/>
        </w:rPr>
      </w:pPr>
    </w:p>
    <w:tbl>
      <w:tblPr>
        <w:tblStyle w:val="TableGrid"/>
        <w:tblW w:w="0" w:type="auto"/>
        <w:tblLook w:val="04A0" w:firstRow="1" w:lastRow="0" w:firstColumn="1" w:lastColumn="0" w:noHBand="0" w:noVBand="1"/>
      </w:tblPr>
      <w:tblGrid>
        <w:gridCol w:w="8438"/>
        <w:gridCol w:w="868"/>
      </w:tblGrid>
      <w:tr w:rsidR="00B24FAE" w:rsidRPr="00A2156D" w14:paraId="1707F7E8" w14:textId="77777777" w:rsidTr="00B24FAE">
        <w:tc>
          <w:tcPr>
            <w:tcW w:w="8748" w:type="dxa"/>
          </w:tcPr>
          <w:p w14:paraId="299E8524" w14:textId="77777777" w:rsidR="00B24FAE" w:rsidRPr="00A2156D" w:rsidRDefault="00B24FAE" w:rsidP="00B24FAE">
            <w:pPr>
              <w:jc w:val="center"/>
              <w:rPr>
                <w:rFonts w:asciiTheme="majorHAnsi" w:hAnsiTheme="majorHAnsi"/>
                <w:b/>
              </w:rPr>
            </w:pPr>
            <w:r w:rsidRPr="00A2156D">
              <w:rPr>
                <w:rFonts w:asciiTheme="majorHAnsi" w:hAnsiTheme="majorHAnsi"/>
                <w:b/>
              </w:rPr>
              <w:t>Meteorological Observatory Measurements</w:t>
            </w:r>
          </w:p>
        </w:tc>
        <w:tc>
          <w:tcPr>
            <w:tcW w:w="828" w:type="dxa"/>
          </w:tcPr>
          <w:p w14:paraId="41669251" w14:textId="63B443E0" w:rsidR="00B24FAE" w:rsidRPr="00A2156D" w:rsidRDefault="00B24FAE" w:rsidP="00B24FAE">
            <w:pPr>
              <w:jc w:val="center"/>
              <w:rPr>
                <w:rFonts w:asciiTheme="majorHAnsi" w:hAnsiTheme="majorHAnsi"/>
                <w:b/>
              </w:rPr>
            </w:pPr>
            <w:r w:rsidRPr="00A2156D">
              <w:rPr>
                <w:rFonts w:asciiTheme="majorHAnsi" w:hAnsiTheme="majorHAnsi"/>
                <w:b/>
              </w:rPr>
              <w:t>Phase</w:t>
            </w:r>
            <w:r>
              <w:rPr>
                <w:rFonts w:asciiTheme="majorHAnsi" w:hAnsiTheme="majorHAnsi"/>
                <w:b/>
              </w:rPr>
              <w:t>*</w:t>
            </w:r>
          </w:p>
        </w:tc>
      </w:tr>
      <w:tr w:rsidR="00B24FAE" w:rsidRPr="00016470" w14:paraId="17F2465D" w14:textId="77777777" w:rsidTr="00B24FAE">
        <w:tc>
          <w:tcPr>
            <w:tcW w:w="8748" w:type="dxa"/>
          </w:tcPr>
          <w:p w14:paraId="27BE47E3" w14:textId="77777777" w:rsidR="00B24FAE" w:rsidRPr="00016470" w:rsidRDefault="00B24FAE" w:rsidP="00B24FAE">
            <w:pPr>
              <w:rPr>
                <w:rFonts w:asciiTheme="majorHAnsi" w:hAnsiTheme="majorHAnsi"/>
              </w:rPr>
            </w:pPr>
            <w:r>
              <w:rPr>
                <w:rFonts w:asciiTheme="majorHAnsi" w:hAnsiTheme="majorHAnsi"/>
              </w:rPr>
              <w:t>Air temperature/ relative humidity</w:t>
            </w:r>
          </w:p>
        </w:tc>
        <w:tc>
          <w:tcPr>
            <w:tcW w:w="828" w:type="dxa"/>
          </w:tcPr>
          <w:p w14:paraId="49D8A9AE" w14:textId="77777777" w:rsidR="00B24FAE" w:rsidRPr="00016470" w:rsidRDefault="00B24FAE" w:rsidP="00B24FAE">
            <w:pPr>
              <w:jc w:val="center"/>
              <w:rPr>
                <w:rFonts w:asciiTheme="majorHAnsi" w:hAnsiTheme="majorHAnsi"/>
              </w:rPr>
            </w:pPr>
            <w:r>
              <w:rPr>
                <w:rFonts w:asciiTheme="majorHAnsi" w:hAnsiTheme="majorHAnsi"/>
              </w:rPr>
              <w:t>1</w:t>
            </w:r>
          </w:p>
        </w:tc>
      </w:tr>
      <w:tr w:rsidR="00B24FAE" w:rsidRPr="00016470" w14:paraId="58391E39" w14:textId="77777777" w:rsidTr="00B24FAE">
        <w:tc>
          <w:tcPr>
            <w:tcW w:w="8748" w:type="dxa"/>
          </w:tcPr>
          <w:p w14:paraId="44822292" w14:textId="77777777" w:rsidR="00B24FAE" w:rsidRPr="00016470" w:rsidRDefault="00B24FAE" w:rsidP="00B24FAE">
            <w:pPr>
              <w:rPr>
                <w:rFonts w:asciiTheme="majorHAnsi" w:hAnsiTheme="majorHAnsi"/>
              </w:rPr>
            </w:pPr>
            <w:r>
              <w:rPr>
                <w:rFonts w:asciiTheme="majorHAnsi" w:hAnsiTheme="majorHAnsi"/>
              </w:rPr>
              <w:t>Wind speed and direction</w:t>
            </w:r>
          </w:p>
        </w:tc>
        <w:tc>
          <w:tcPr>
            <w:tcW w:w="828" w:type="dxa"/>
          </w:tcPr>
          <w:p w14:paraId="4F750B23" w14:textId="77777777" w:rsidR="00B24FAE" w:rsidRPr="00016470" w:rsidRDefault="00B24FAE" w:rsidP="00B24FAE">
            <w:pPr>
              <w:jc w:val="center"/>
              <w:rPr>
                <w:rFonts w:asciiTheme="majorHAnsi" w:hAnsiTheme="majorHAnsi"/>
              </w:rPr>
            </w:pPr>
            <w:r>
              <w:rPr>
                <w:rFonts w:asciiTheme="majorHAnsi" w:hAnsiTheme="majorHAnsi"/>
              </w:rPr>
              <w:t>1</w:t>
            </w:r>
          </w:p>
        </w:tc>
      </w:tr>
      <w:tr w:rsidR="00B24FAE" w:rsidRPr="00016470" w14:paraId="6143836B" w14:textId="77777777" w:rsidTr="00B24FAE">
        <w:tc>
          <w:tcPr>
            <w:tcW w:w="8748" w:type="dxa"/>
          </w:tcPr>
          <w:p w14:paraId="224948C0" w14:textId="77777777" w:rsidR="00B24FAE" w:rsidRPr="00016470" w:rsidRDefault="00B24FAE" w:rsidP="00B24FAE">
            <w:pPr>
              <w:rPr>
                <w:rFonts w:asciiTheme="majorHAnsi" w:hAnsiTheme="majorHAnsi"/>
              </w:rPr>
            </w:pPr>
            <w:r>
              <w:rPr>
                <w:rFonts w:asciiTheme="majorHAnsi" w:hAnsiTheme="majorHAnsi"/>
              </w:rPr>
              <w:t>Precipitation</w:t>
            </w:r>
          </w:p>
        </w:tc>
        <w:tc>
          <w:tcPr>
            <w:tcW w:w="828" w:type="dxa"/>
          </w:tcPr>
          <w:p w14:paraId="7078B1A2" w14:textId="77777777" w:rsidR="00B24FAE" w:rsidRPr="00016470" w:rsidRDefault="00B24FAE" w:rsidP="00B24FAE">
            <w:pPr>
              <w:jc w:val="center"/>
              <w:rPr>
                <w:rFonts w:asciiTheme="majorHAnsi" w:hAnsiTheme="majorHAnsi"/>
              </w:rPr>
            </w:pPr>
            <w:r>
              <w:rPr>
                <w:rFonts w:asciiTheme="majorHAnsi" w:hAnsiTheme="majorHAnsi"/>
              </w:rPr>
              <w:t>1</w:t>
            </w:r>
          </w:p>
        </w:tc>
      </w:tr>
      <w:tr w:rsidR="00B24FAE" w:rsidRPr="00016470" w14:paraId="49CCECC0" w14:textId="77777777" w:rsidTr="00B24FAE">
        <w:tc>
          <w:tcPr>
            <w:tcW w:w="8748" w:type="dxa"/>
          </w:tcPr>
          <w:p w14:paraId="76158B8A" w14:textId="77777777" w:rsidR="00B24FAE" w:rsidRPr="00016470" w:rsidRDefault="00B24FAE" w:rsidP="00B24FAE">
            <w:pPr>
              <w:rPr>
                <w:rFonts w:asciiTheme="majorHAnsi" w:hAnsiTheme="majorHAnsi"/>
              </w:rPr>
            </w:pPr>
            <w:r>
              <w:rPr>
                <w:rFonts w:asciiTheme="majorHAnsi" w:hAnsiTheme="majorHAnsi"/>
              </w:rPr>
              <w:t xml:space="preserve">Phenology camera </w:t>
            </w:r>
          </w:p>
        </w:tc>
        <w:tc>
          <w:tcPr>
            <w:tcW w:w="828" w:type="dxa"/>
          </w:tcPr>
          <w:p w14:paraId="33972E03" w14:textId="77777777" w:rsidR="00B24FAE" w:rsidRPr="00016470" w:rsidRDefault="00B24FAE" w:rsidP="00B24FAE">
            <w:pPr>
              <w:jc w:val="center"/>
              <w:rPr>
                <w:rFonts w:asciiTheme="majorHAnsi" w:hAnsiTheme="majorHAnsi"/>
              </w:rPr>
            </w:pPr>
            <w:r>
              <w:rPr>
                <w:rFonts w:asciiTheme="majorHAnsi" w:hAnsiTheme="majorHAnsi"/>
              </w:rPr>
              <w:t>1</w:t>
            </w:r>
          </w:p>
        </w:tc>
      </w:tr>
      <w:tr w:rsidR="00B24FAE" w:rsidRPr="00016470" w14:paraId="33657E3B" w14:textId="77777777" w:rsidTr="00B24FAE">
        <w:tc>
          <w:tcPr>
            <w:tcW w:w="8748" w:type="dxa"/>
          </w:tcPr>
          <w:p w14:paraId="55A35C6A" w14:textId="77777777" w:rsidR="00B24FAE" w:rsidRPr="00016470" w:rsidRDefault="00B24FAE" w:rsidP="00B24FAE">
            <w:pPr>
              <w:rPr>
                <w:rFonts w:asciiTheme="majorHAnsi" w:hAnsiTheme="majorHAnsi"/>
              </w:rPr>
            </w:pPr>
            <w:r>
              <w:rPr>
                <w:rFonts w:asciiTheme="majorHAnsi" w:hAnsiTheme="majorHAnsi"/>
              </w:rPr>
              <w:t>Barometric pressure</w:t>
            </w:r>
          </w:p>
        </w:tc>
        <w:tc>
          <w:tcPr>
            <w:tcW w:w="828" w:type="dxa"/>
          </w:tcPr>
          <w:p w14:paraId="771D201A" w14:textId="77777777" w:rsidR="00B24FAE" w:rsidRPr="00016470" w:rsidRDefault="00B24FAE" w:rsidP="00B24FAE">
            <w:pPr>
              <w:jc w:val="center"/>
              <w:rPr>
                <w:rFonts w:asciiTheme="majorHAnsi" w:hAnsiTheme="majorHAnsi"/>
              </w:rPr>
            </w:pPr>
            <w:r>
              <w:rPr>
                <w:rFonts w:asciiTheme="majorHAnsi" w:hAnsiTheme="majorHAnsi"/>
              </w:rPr>
              <w:t>2</w:t>
            </w:r>
          </w:p>
        </w:tc>
      </w:tr>
      <w:tr w:rsidR="00B24FAE" w:rsidRPr="00016470" w14:paraId="50E183C5" w14:textId="77777777" w:rsidTr="00B24FAE">
        <w:tc>
          <w:tcPr>
            <w:tcW w:w="8748" w:type="dxa"/>
          </w:tcPr>
          <w:p w14:paraId="57A86FC7" w14:textId="77777777" w:rsidR="00B24FAE" w:rsidRPr="00016470" w:rsidRDefault="00B24FAE" w:rsidP="00B24FAE">
            <w:pPr>
              <w:rPr>
                <w:rFonts w:asciiTheme="majorHAnsi" w:hAnsiTheme="majorHAnsi"/>
              </w:rPr>
            </w:pPr>
            <w:r>
              <w:rPr>
                <w:rFonts w:asciiTheme="majorHAnsi" w:hAnsiTheme="majorHAnsi"/>
              </w:rPr>
              <w:t>Short and long-wave radiation (incoming and reflected if combined in a single instrument)</w:t>
            </w:r>
          </w:p>
        </w:tc>
        <w:tc>
          <w:tcPr>
            <w:tcW w:w="828" w:type="dxa"/>
          </w:tcPr>
          <w:p w14:paraId="73D51708" w14:textId="77777777" w:rsidR="00B24FAE" w:rsidRPr="00016470" w:rsidRDefault="00B24FAE" w:rsidP="00B24FAE">
            <w:pPr>
              <w:jc w:val="center"/>
              <w:rPr>
                <w:rFonts w:asciiTheme="majorHAnsi" w:hAnsiTheme="majorHAnsi"/>
              </w:rPr>
            </w:pPr>
            <w:r>
              <w:rPr>
                <w:rFonts w:asciiTheme="majorHAnsi" w:hAnsiTheme="majorHAnsi"/>
              </w:rPr>
              <w:t>2</w:t>
            </w:r>
          </w:p>
        </w:tc>
      </w:tr>
      <w:tr w:rsidR="00B24FAE" w:rsidRPr="00016470" w14:paraId="39D2100E" w14:textId="77777777" w:rsidTr="00B24FAE">
        <w:tc>
          <w:tcPr>
            <w:tcW w:w="8748" w:type="dxa"/>
          </w:tcPr>
          <w:p w14:paraId="7688EBC3" w14:textId="77777777" w:rsidR="00B24FAE" w:rsidRPr="00016470" w:rsidRDefault="00B24FAE" w:rsidP="00B24FAE">
            <w:pPr>
              <w:rPr>
                <w:rFonts w:asciiTheme="majorHAnsi" w:hAnsiTheme="majorHAnsi"/>
              </w:rPr>
            </w:pPr>
            <w:proofErr w:type="spellStart"/>
            <w:r>
              <w:rPr>
                <w:rFonts w:asciiTheme="majorHAnsi" w:hAnsiTheme="majorHAnsi"/>
              </w:rPr>
              <w:t>Photosynthetically</w:t>
            </w:r>
            <w:proofErr w:type="spellEnd"/>
            <w:r>
              <w:rPr>
                <w:rFonts w:asciiTheme="majorHAnsi" w:hAnsiTheme="majorHAnsi"/>
              </w:rPr>
              <w:t>-active radiation (PAR) incoming</w:t>
            </w:r>
          </w:p>
        </w:tc>
        <w:tc>
          <w:tcPr>
            <w:tcW w:w="828" w:type="dxa"/>
          </w:tcPr>
          <w:p w14:paraId="7DC997D0" w14:textId="77777777" w:rsidR="00B24FAE" w:rsidRPr="00016470" w:rsidRDefault="00B24FAE" w:rsidP="00B24FAE">
            <w:pPr>
              <w:jc w:val="center"/>
              <w:rPr>
                <w:rFonts w:asciiTheme="majorHAnsi" w:hAnsiTheme="majorHAnsi"/>
              </w:rPr>
            </w:pPr>
            <w:r>
              <w:rPr>
                <w:rFonts w:asciiTheme="majorHAnsi" w:hAnsiTheme="majorHAnsi"/>
              </w:rPr>
              <w:t>2</w:t>
            </w:r>
          </w:p>
        </w:tc>
      </w:tr>
    </w:tbl>
    <w:p w14:paraId="4ABECEEA" w14:textId="77777777" w:rsidR="00B24FAE" w:rsidRDefault="00B24FAE" w:rsidP="00B24FAE">
      <w:pPr>
        <w:rPr>
          <w:rFonts w:asciiTheme="majorHAnsi" w:hAnsiTheme="majorHAnsi"/>
        </w:rPr>
      </w:pPr>
    </w:p>
    <w:p w14:paraId="1514BB15" w14:textId="159CC870" w:rsidR="00B24FAE" w:rsidRPr="00B24FAE" w:rsidRDefault="00B24FAE" w:rsidP="00B24FAE">
      <w:pPr>
        <w:rPr>
          <w:rFonts w:asciiTheme="majorHAnsi" w:hAnsiTheme="majorHAnsi"/>
          <w:sz w:val="20"/>
          <w:szCs w:val="20"/>
        </w:rPr>
      </w:pPr>
      <w:r w:rsidRPr="00B24FAE">
        <w:rPr>
          <w:rFonts w:asciiTheme="majorHAnsi" w:hAnsiTheme="majorHAnsi"/>
          <w:sz w:val="20"/>
          <w:szCs w:val="20"/>
        </w:rPr>
        <w:t xml:space="preserve">*Phase 1 common measurements are to be implemented by the end of FY15. </w:t>
      </w:r>
    </w:p>
    <w:p w14:paraId="2EF55D82" w14:textId="77777777" w:rsidR="00B24FAE" w:rsidRDefault="00B24FAE" w:rsidP="0007242C">
      <w:pPr>
        <w:rPr>
          <w:rFonts w:cs="Calibri"/>
          <w:iCs/>
        </w:rPr>
      </w:pPr>
    </w:p>
    <w:p w14:paraId="599607B5" w14:textId="21FAAEFD" w:rsidR="0007242C" w:rsidRPr="0007242C" w:rsidRDefault="00330315" w:rsidP="0007242C">
      <w:r w:rsidRPr="0007242C">
        <w:rPr>
          <w:rFonts w:cs="Calibri"/>
          <w:iCs/>
        </w:rPr>
        <w:t xml:space="preserve">Since this is a demonstration effort and the funded network sites are required to </w:t>
      </w:r>
      <w:r w:rsidR="00656BCD" w:rsidRPr="0007242C">
        <w:rPr>
          <w:rFonts w:cs="Calibri"/>
          <w:iCs/>
        </w:rPr>
        <w:t xml:space="preserve">have data </w:t>
      </w:r>
      <w:r w:rsidR="0057550B" w:rsidRPr="0007242C">
        <w:rPr>
          <w:rFonts w:cs="Calibri"/>
          <w:iCs/>
        </w:rPr>
        <w:t xml:space="preserve">from their sites retrieved by </w:t>
      </w:r>
      <w:r w:rsidR="00656BCD" w:rsidRPr="0007242C">
        <w:rPr>
          <w:rFonts w:cs="Calibri"/>
          <w:iCs/>
        </w:rPr>
        <w:t xml:space="preserve">NAL </w:t>
      </w:r>
      <w:r w:rsidR="0057550B" w:rsidRPr="0007242C">
        <w:rPr>
          <w:rFonts w:cs="Calibri"/>
          <w:iCs/>
        </w:rPr>
        <w:t xml:space="preserve">for display we expect that the recommendations discussed below will evolve. </w:t>
      </w:r>
      <w:r w:rsidR="004D0009" w:rsidRPr="0007242C">
        <w:rPr>
          <w:rFonts w:cs="Calibri"/>
          <w:iCs/>
        </w:rPr>
        <w:t xml:space="preserve"> In particular uniform guidelines for variable sampling, averaging, and reporting will need to be developed.  </w:t>
      </w:r>
      <w:r w:rsidR="0007242C" w:rsidRPr="0007242C">
        <w:rPr>
          <w:rFonts w:cs="Calibri"/>
          <w:iCs/>
        </w:rPr>
        <w:t xml:space="preserve">Guidance is available from </w:t>
      </w:r>
      <w:r w:rsidR="0007242C" w:rsidRPr="0007242C">
        <w:t>the Commission for Instruments and Methods of Observations (</w:t>
      </w:r>
      <w:r w:rsidR="0007242C" w:rsidRPr="0007242C">
        <w:rPr>
          <w:i/>
          <w:iCs/>
        </w:rPr>
        <w:t>CIMO</w:t>
      </w:r>
      <w:r w:rsidR="0007242C" w:rsidRPr="0007242C">
        <w:t>) “Guide To Meteorological Instruments And Methods Of Observation (WMO-No. 8)”.  Appendix C provides some background from CIMO on sampling and reporting guidelines.  Recommendations are also available from the NOAA National Climate and Data Center (NCDC) that differ somewhat from those of CIMO.</w:t>
      </w:r>
      <w:r w:rsidR="0007242C">
        <w:t xml:space="preserve">  These differences will be resolved and detailed recommendations will be developed by variable observed for which observed and computed quantities (averages, variance, max, min) will be stored and transmitted.</w:t>
      </w:r>
    </w:p>
    <w:p w14:paraId="3D220F89" w14:textId="77777777" w:rsidR="0007242C" w:rsidRDefault="0007242C" w:rsidP="0007242C"/>
    <w:p w14:paraId="27949A94" w14:textId="71448210" w:rsidR="00330315" w:rsidRPr="0007242C" w:rsidRDefault="0057550B" w:rsidP="0007242C">
      <w:r w:rsidRPr="00B24FAE">
        <w:rPr>
          <w:u w:val="single"/>
        </w:rPr>
        <w:t>To meet the time constraint we recommend LTAR sites use existing met station observations wherever possible.</w:t>
      </w:r>
      <w:r w:rsidRPr="0007242C">
        <w:t xml:space="preserve">  Unless the local LTAR site has adequate time and resources we do not suggest reprogramming data loggers until final specifications are developed.  Instead we envision that it will be most efficient to reformat existing met station data that the location is already receiving from the field and reformatting it into the data fields </w:t>
      </w:r>
      <w:r w:rsidR="00D53C8A">
        <w:t>specified in the “</w:t>
      </w:r>
      <w:r w:rsidR="00D53C8A" w:rsidRPr="006B6640">
        <w:t>LTAR Common Observatory</w:t>
      </w:r>
      <w:r w:rsidR="00D53C8A">
        <w:t xml:space="preserve"> </w:t>
      </w:r>
      <w:r w:rsidR="00D53C8A" w:rsidRPr="006B6640">
        <w:t>Meteorology Data Concept of Operations</w:t>
      </w:r>
      <w:r w:rsidR="00D53C8A">
        <w:t>”</w:t>
      </w:r>
      <w:r w:rsidRPr="0007242C">
        <w:t xml:space="preserve"> so it can be ingested by NAL.  Dr. Jeff Campbell from NAL stated that he would rather pull the data from the locations from a secure ftp site and have it pushed to him.</w:t>
      </w:r>
    </w:p>
    <w:p w14:paraId="6681AF0B" w14:textId="77777777" w:rsidR="00B37EE7" w:rsidRPr="0007242C" w:rsidRDefault="00B37EE7" w:rsidP="0007242C"/>
    <w:p w14:paraId="65C9CDC2" w14:textId="2ABE76A2" w:rsidR="00195175" w:rsidRPr="0007242C" w:rsidRDefault="00CF2488" w:rsidP="0007242C">
      <w:r w:rsidRPr="0007242C">
        <w:t>Any of the near real-time data from LTAR sites displayed via the NAL URL</w:t>
      </w:r>
      <w:r w:rsidR="00330315" w:rsidRPr="0007242C">
        <w:t xml:space="preserve"> will clearly be labeled as provisional.  Post QA/</w:t>
      </w:r>
      <w:proofErr w:type="spellStart"/>
      <w:r w:rsidR="00330315" w:rsidRPr="0007242C">
        <w:t>QC</w:t>
      </w:r>
      <w:r w:rsidR="00C55F24">
        <w:t>’ed</w:t>
      </w:r>
      <w:proofErr w:type="spellEnd"/>
      <w:r w:rsidR="00330315" w:rsidRPr="0007242C">
        <w:t xml:space="preserve"> data will be submitted to NAL at a later time with a latency TBD.</w:t>
      </w:r>
    </w:p>
    <w:p w14:paraId="2C7D159A" w14:textId="77777777" w:rsidR="00B04F93" w:rsidRDefault="00B04F93" w:rsidP="00260279">
      <w:pPr>
        <w:widowControl w:val="0"/>
        <w:autoSpaceDE w:val="0"/>
        <w:autoSpaceDN w:val="0"/>
        <w:adjustRightInd w:val="0"/>
        <w:rPr>
          <w:rFonts w:ascii="Calibri" w:hAnsi="Calibri" w:cs="Calibri"/>
          <w:iCs/>
        </w:rPr>
      </w:pPr>
    </w:p>
    <w:p w14:paraId="55B270F6" w14:textId="4841BC2E" w:rsidR="00B04F93" w:rsidRPr="0007242C" w:rsidRDefault="003B11A4" w:rsidP="0007242C">
      <w:proofErr w:type="spellStart"/>
      <w:r w:rsidRPr="0007242C">
        <w:t>IIIa</w:t>
      </w:r>
      <w:proofErr w:type="spellEnd"/>
      <w:r w:rsidRPr="0007242C">
        <w:t xml:space="preserve">. Data </w:t>
      </w:r>
      <w:r w:rsidR="00B24FAE">
        <w:t>Formats f</w:t>
      </w:r>
      <w:r w:rsidR="00CA6050" w:rsidRPr="0007242C">
        <w:t xml:space="preserve">or Both Overall </w:t>
      </w:r>
      <w:r w:rsidRPr="0007242C">
        <w:t xml:space="preserve">LTAR </w:t>
      </w:r>
      <w:r w:rsidR="00CA6050">
        <w:t>Data Transmission and for t</w:t>
      </w:r>
      <w:r w:rsidR="00CA6050" w:rsidRPr="0007242C">
        <w:t xml:space="preserve">he </w:t>
      </w:r>
      <w:r w:rsidRPr="0007242C">
        <w:t xml:space="preserve">Limited </w:t>
      </w:r>
      <w:r w:rsidR="00CA6050">
        <w:t>Set o</w:t>
      </w:r>
      <w:r w:rsidR="00CA6050" w:rsidRPr="0007242C">
        <w:t xml:space="preserve">f </w:t>
      </w:r>
      <w:r w:rsidRPr="0007242C">
        <w:t>Demonstration</w:t>
      </w:r>
      <w:r w:rsidR="00B04F93" w:rsidRPr="0007242C">
        <w:t xml:space="preserve"> </w:t>
      </w:r>
      <w:r w:rsidRPr="0007242C">
        <w:t>Variables L</w:t>
      </w:r>
      <w:r w:rsidR="00B04F93" w:rsidRPr="0007242C">
        <w:t>ist</w:t>
      </w:r>
      <w:r w:rsidRPr="0007242C">
        <w:t xml:space="preserve">ed Above </w:t>
      </w:r>
    </w:p>
    <w:p w14:paraId="361EEB16" w14:textId="77777777" w:rsidR="00B04F93" w:rsidRPr="0007242C" w:rsidRDefault="00B04F93" w:rsidP="0007242C"/>
    <w:p w14:paraId="11F5B010" w14:textId="727EA9EA" w:rsidR="0007242C" w:rsidRDefault="007556A9" w:rsidP="0007242C">
      <w:r w:rsidRPr="0007242C">
        <w:t>For the demonstration it is anticipated a simple .</w:t>
      </w:r>
      <w:proofErr w:type="spellStart"/>
      <w:r w:rsidRPr="0007242C">
        <w:t>cvs</w:t>
      </w:r>
      <w:proofErr w:type="spellEnd"/>
      <w:r w:rsidRPr="0007242C">
        <w:t xml:space="preserve"> format will be used for the small subset of variables listed above.  A suggested format will be developed at forwarded with the next version of this document.  Given the complexity </w:t>
      </w:r>
      <w:r w:rsidR="007679CA" w:rsidRPr="0007242C">
        <w:t xml:space="preserve">and size </w:t>
      </w:r>
      <w:r w:rsidRPr="0007242C">
        <w:t xml:space="preserve">of the full set of </w:t>
      </w:r>
      <w:r w:rsidRPr="0007242C">
        <w:lastRenderedPageBreak/>
        <w:t xml:space="preserve">LTAR data types that will eventually come on-line </w:t>
      </w:r>
      <w:r w:rsidR="007679CA" w:rsidRPr="0007242C">
        <w:t xml:space="preserve">it is likely that a more robust data format will be required in the future.  </w:t>
      </w:r>
      <w:r w:rsidR="00B24FAE">
        <w:t>See the companion document entitled “</w:t>
      </w:r>
      <w:r w:rsidR="00B24FAE" w:rsidRPr="006B6640">
        <w:t>LTAR Common Observatory</w:t>
      </w:r>
      <w:r w:rsidR="00B24FAE">
        <w:t xml:space="preserve"> </w:t>
      </w:r>
      <w:r w:rsidR="00B24FAE" w:rsidRPr="006B6640">
        <w:t>Meteorology Data Concept of Operations</w:t>
      </w:r>
      <w:r w:rsidR="00B24FAE">
        <w:t>” for more specific guidance on data formats.</w:t>
      </w:r>
    </w:p>
    <w:p w14:paraId="19700FCF" w14:textId="77777777" w:rsidR="0007242C" w:rsidRPr="0007242C" w:rsidRDefault="0007242C" w:rsidP="0007242C"/>
    <w:p w14:paraId="6DFE7970" w14:textId="537F6B49" w:rsidR="003B11A4" w:rsidRPr="0007242C" w:rsidRDefault="00E92DB1" w:rsidP="0007242C">
      <w:proofErr w:type="spellStart"/>
      <w:r>
        <w:t>IIIa</w:t>
      </w:r>
      <w:proofErr w:type="spellEnd"/>
      <w:r w:rsidR="003B11A4" w:rsidRPr="0007242C">
        <w:t>. LTAR Points of Contact for Data Reformatting and Transmission</w:t>
      </w:r>
    </w:p>
    <w:p w14:paraId="601B304E" w14:textId="77777777" w:rsidR="003B11A4" w:rsidRPr="0007242C" w:rsidRDefault="003B11A4" w:rsidP="0007242C"/>
    <w:p w14:paraId="31C272F1" w14:textId="20A84D6A" w:rsidR="00B04F93" w:rsidRPr="0007242C" w:rsidRDefault="00B04F93" w:rsidP="0007242C">
      <w:r w:rsidRPr="0007242C">
        <w:t>A point of contact for each LTAR location was identified at the end of the meeting to work on data reformatting and posting with NAL.  Those contacts are listed in Table 3.</w:t>
      </w:r>
    </w:p>
    <w:p w14:paraId="7B509C85" w14:textId="77777777" w:rsidR="00CD2279" w:rsidRPr="0007242C" w:rsidRDefault="00CD2279" w:rsidP="0007242C"/>
    <w:p w14:paraId="02923896" w14:textId="287A930D" w:rsidR="00CD2279" w:rsidRPr="0007242C" w:rsidRDefault="00CD2279" w:rsidP="0007242C">
      <w:r w:rsidRPr="0007242C">
        <w:t>Table 3. LTAR Location Data Contacts</w:t>
      </w:r>
    </w:p>
    <w:tbl>
      <w:tblPr>
        <w:tblW w:w="7320" w:type="dxa"/>
        <w:jc w:val="center"/>
        <w:tblInd w:w="93" w:type="dxa"/>
        <w:tblLook w:val="04A0" w:firstRow="1" w:lastRow="0" w:firstColumn="1" w:lastColumn="0" w:noHBand="0" w:noVBand="1"/>
      </w:tblPr>
      <w:tblGrid>
        <w:gridCol w:w="2680"/>
        <w:gridCol w:w="3580"/>
        <w:gridCol w:w="1060"/>
      </w:tblGrid>
      <w:tr w:rsidR="00CD2279" w:rsidRPr="00CD2279" w14:paraId="343A376B" w14:textId="77777777" w:rsidTr="00CD2279">
        <w:trPr>
          <w:trHeight w:val="280"/>
          <w:jc w:val="center"/>
        </w:trPr>
        <w:tc>
          <w:tcPr>
            <w:tcW w:w="2680" w:type="dxa"/>
            <w:tcBorders>
              <w:top w:val="nil"/>
              <w:left w:val="nil"/>
              <w:bottom w:val="single" w:sz="4" w:space="0" w:color="auto"/>
              <w:right w:val="nil"/>
            </w:tcBorders>
            <w:shd w:val="clear" w:color="auto" w:fill="auto"/>
            <w:noWrap/>
            <w:vAlign w:val="bottom"/>
            <w:hideMark/>
          </w:tcPr>
          <w:p w14:paraId="3CB3B170" w14:textId="77777777" w:rsidR="00CD2279" w:rsidRPr="0007242C" w:rsidRDefault="00CD2279" w:rsidP="00CD2279">
            <w:r w:rsidRPr="0007242C">
              <w:t>Name</w:t>
            </w:r>
          </w:p>
        </w:tc>
        <w:tc>
          <w:tcPr>
            <w:tcW w:w="3580" w:type="dxa"/>
            <w:tcBorders>
              <w:top w:val="nil"/>
              <w:left w:val="nil"/>
              <w:bottom w:val="single" w:sz="4" w:space="0" w:color="auto"/>
              <w:right w:val="nil"/>
            </w:tcBorders>
            <w:shd w:val="clear" w:color="auto" w:fill="auto"/>
            <w:noWrap/>
            <w:vAlign w:val="bottom"/>
            <w:hideMark/>
          </w:tcPr>
          <w:p w14:paraId="54AAEF27" w14:textId="77777777" w:rsidR="00CD2279" w:rsidRPr="0007242C" w:rsidRDefault="00CD2279" w:rsidP="00CD2279">
            <w:r w:rsidRPr="0007242C">
              <w:t>Email</w:t>
            </w:r>
          </w:p>
        </w:tc>
        <w:tc>
          <w:tcPr>
            <w:tcW w:w="1060" w:type="dxa"/>
            <w:tcBorders>
              <w:top w:val="nil"/>
              <w:left w:val="nil"/>
              <w:bottom w:val="single" w:sz="4" w:space="0" w:color="auto"/>
              <w:right w:val="nil"/>
            </w:tcBorders>
            <w:shd w:val="clear" w:color="auto" w:fill="auto"/>
            <w:noWrap/>
            <w:vAlign w:val="bottom"/>
            <w:hideMark/>
          </w:tcPr>
          <w:p w14:paraId="3CA5805D" w14:textId="77777777" w:rsidR="00CD2279" w:rsidRPr="0007242C" w:rsidRDefault="00CD2279" w:rsidP="0007242C">
            <w:r w:rsidRPr="0007242C">
              <w:t>LTAR Site</w:t>
            </w:r>
          </w:p>
        </w:tc>
      </w:tr>
      <w:tr w:rsidR="00CD2279" w:rsidRPr="00CD2279" w14:paraId="70DD5BA7"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386CD039" w14:textId="77777777" w:rsidR="00CD2279" w:rsidRPr="0007242C" w:rsidRDefault="00CD2279" w:rsidP="00CD2279">
            <w:proofErr w:type="spellStart"/>
            <w:r w:rsidRPr="0007242C">
              <w:t>Kye</w:t>
            </w:r>
            <w:proofErr w:type="spellEnd"/>
            <w:r w:rsidRPr="0007242C">
              <w:t xml:space="preserve"> Ewing</w:t>
            </w:r>
          </w:p>
        </w:tc>
        <w:tc>
          <w:tcPr>
            <w:tcW w:w="3580" w:type="dxa"/>
            <w:tcBorders>
              <w:top w:val="nil"/>
              <w:left w:val="nil"/>
              <w:bottom w:val="nil"/>
              <w:right w:val="nil"/>
            </w:tcBorders>
            <w:shd w:val="clear" w:color="auto" w:fill="auto"/>
            <w:noWrap/>
            <w:vAlign w:val="center"/>
            <w:hideMark/>
          </w:tcPr>
          <w:p w14:paraId="417CF811" w14:textId="77777777" w:rsidR="00CD2279" w:rsidRPr="0007242C" w:rsidRDefault="00063E6A" w:rsidP="00CD2279">
            <w:hyperlink r:id="rId12" w:history="1">
              <w:r w:rsidR="00CD2279" w:rsidRPr="0007242C">
                <w:t>kewing@archbold-station.org</w:t>
              </w:r>
            </w:hyperlink>
          </w:p>
        </w:tc>
        <w:tc>
          <w:tcPr>
            <w:tcW w:w="1060" w:type="dxa"/>
            <w:tcBorders>
              <w:top w:val="nil"/>
              <w:left w:val="nil"/>
              <w:bottom w:val="nil"/>
              <w:right w:val="nil"/>
            </w:tcBorders>
            <w:shd w:val="clear" w:color="auto" w:fill="auto"/>
            <w:noWrap/>
            <w:vAlign w:val="bottom"/>
            <w:hideMark/>
          </w:tcPr>
          <w:p w14:paraId="72458A73" w14:textId="77777777" w:rsidR="00CD2279" w:rsidRPr="0007242C" w:rsidRDefault="00CD2279" w:rsidP="0007242C">
            <w:r w:rsidRPr="0007242C">
              <w:t>ABS</w:t>
            </w:r>
          </w:p>
        </w:tc>
      </w:tr>
      <w:tr w:rsidR="00CD2279" w:rsidRPr="00CD2279" w14:paraId="3B8D3AF0"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77121BDD" w14:textId="77777777" w:rsidR="00CD2279" w:rsidRPr="0007242C" w:rsidRDefault="00CD2279" w:rsidP="00CD2279">
            <w:r w:rsidRPr="0007242C">
              <w:t xml:space="preserve">Betsey </w:t>
            </w:r>
            <w:proofErr w:type="spellStart"/>
            <w:r w:rsidRPr="0007242C">
              <w:t>Boughton</w:t>
            </w:r>
            <w:proofErr w:type="spellEnd"/>
          </w:p>
        </w:tc>
        <w:tc>
          <w:tcPr>
            <w:tcW w:w="3580" w:type="dxa"/>
            <w:tcBorders>
              <w:top w:val="nil"/>
              <w:left w:val="nil"/>
              <w:bottom w:val="nil"/>
              <w:right w:val="nil"/>
            </w:tcBorders>
            <w:shd w:val="clear" w:color="auto" w:fill="auto"/>
            <w:noWrap/>
            <w:vAlign w:val="bottom"/>
            <w:hideMark/>
          </w:tcPr>
          <w:p w14:paraId="0CC3D36A" w14:textId="77777777" w:rsidR="00CD2279" w:rsidRPr="0007242C" w:rsidRDefault="00063E6A" w:rsidP="00CD2279">
            <w:hyperlink r:id="rId13" w:history="1">
              <w:r w:rsidR="00CD2279" w:rsidRPr="0007242C">
                <w:t>eboughton@archbold-station.org</w:t>
              </w:r>
            </w:hyperlink>
          </w:p>
        </w:tc>
        <w:tc>
          <w:tcPr>
            <w:tcW w:w="1060" w:type="dxa"/>
            <w:tcBorders>
              <w:top w:val="nil"/>
              <w:left w:val="nil"/>
              <w:bottom w:val="nil"/>
              <w:right w:val="nil"/>
            </w:tcBorders>
            <w:shd w:val="clear" w:color="auto" w:fill="auto"/>
            <w:noWrap/>
            <w:vAlign w:val="bottom"/>
            <w:hideMark/>
          </w:tcPr>
          <w:p w14:paraId="4F925329" w14:textId="77777777" w:rsidR="00CD2279" w:rsidRPr="0007242C" w:rsidRDefault="00CD2279" w:rsidP="0007242C">
            <w:r w:rsidRPr="0007242C">
              <w:t>ABS</w:t>
            </w:r>
          </w:p>
        </w:tc>
      </w:tr>
      <w:tr w:rsidR="00CD2279" w:rsidRPr="00CD2279" w14:paraId="120CD69C"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341AEA5F" w14:textId="77777777" w:rsidR="00CD2279" w:rsidRPr="0007242C" w:rsidRDefault="00CD2279" w:rsidP="00CD2279">
            <w:r w:rsidRPr="0007242C">
              <w:t>David Huggins</w:t>
            </w:r>
          </w:p>
        </w:tc>
        <w:tc>
          <w:tcPr>
            <w:tcW w:w="3580" w:type="dxa"/>
            <w:tcBorders>
              <w:top w:val="nil"/>
              <w:left w:val="nil"/>
              <w:bottom w:val="nil"/>
              <w:right w:val="nil"/>
            </w:tcBorders>
            <w:shd w:val="clear" w:color="auto" w:fill="auto"/>
            <w:noWrap/>
            <w:vAlign w:val="center"/>
            <w:hideMark/>
          </w:tcPr>
          <w:p w14:paraId="079E088B" w14:textId="77777777" w:rsidR="00CD2279" w:rsidRPr="0007242C" w:rsidRDefault="00063E6A" w:rsidP="00CD2279">
            <w:hyperlink r:id="rId14" w:history="1">
              <w:r w:rsidR="00CD2279" w:rsidRPr="0007242C">
                <w:t>dhuggins@wsu.edu</w:t>
              </w:r>
            </w:hyperlink>
          </w:p>
        </w:tc>
        <w:tc>
          <w:tcPr>
            <w:tcW w:w="1060" w:type="dxa"/>
            <w:tcBorders>
              <w:top w:val="nil"/>
              <w:left w:val="nil"/>
              <w:bottom w:val="nil"/>
              <w:right w:val="nil"/>
            </w:tcBorders>
            <w:shd w:val="clear" w:color="auto" w:fill="auto"/>
            <w:noWrap/>
            <w:vAlign w:val="bottom"/>
            <w:hideMark/>
          </w:tcPr>
          <w:p w14:paraId="54BA81A7" w14:textId="77777777" w:rsidR="00CD2279" w:rsidRPr="0007242C" w:rsidRDefault="00CD2279" w:rsidP="0007242C">
            <w:r w:rsidRPr="0007242C">
              <w:t>CAF</w:t>
            </w:r>
          </w:p>
        </w:tc>
      </w:tr>
      <w:tr w:rsidR="00CD2279" w:rsidRPr="00CD2279" w14:paraId="4AB42872"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1191EA94" w14:textId="77777777" w:rsidR="00CD2279" w:rsidRPr="0007242C" w:rsidRDefault="00CD2279" w:rsidP="00CD2279">
            <w:r w:rsidRPr="0007242C">
              <w:t>John Sadler</w:t>
            </w:r>
          </w:p>
        </w:tc>
        <w:tc>
          <w:tcPr>
            <w:tcW w:w="3580" w:type="dxa"/>
            <w:tcBorders>
              <w:top w:val="nil"/>
              <w:left w:val="nil"/>
              <w:bottom w:val="nil"/>
              <w:right w:val="nil"/>
            </w:tcBorders>
            <w:shd w:val="clear" w:color="auto" w:fill="auto"/>
            <w:noWrap/>
            <w:vAlign w:val="center"/>
            <w:hideMark/>
          </w:tcPr>
          <w:p w14:paraId="25E0E351" w14:textId="77777777" w:rsidR="00CD2279" w:rsidRPr="0007242C" w:rsidRDefault="00063E6A" w:rsidP="00CD2279">
            <w:hyperlink r:id="rId15" w:history="1">
              <w:r w:rsidR="00CD2279" w:rsidRPr="0007242C">
                <w:t>John.sadler@ars.usda.gov</w:t>
              </w:r>
            </w:hyperlink>
          </w:p>
        </w:tc>
        <w:tc>
          <w:tcPr>
            <w:tcW w:w="1060" w:type="dxa"/>
            <w:tcBorders>
              <w:top w:val="nil"/>
              <w:left w:val="nil"/>
              <w:bottom w:val="nil"/>
              <w:right w:val="nil"/>
            </w:tcBorders>
            <w:shd w:val="clear" w:color="auto" w:fill="auto"/>
            <w:noWrap/>
            <w:vAlign w:val="bottom"/>
            <w:hideMark/>
          </w:tcPr>
          <w:p w14:paraId="3F7D7311" w14:textId="77777777" w:rsidR="00CD2279" w:rsidRPr="0007242C" w:rsidRDefault="00CD2279" w:rsidP="0007242C">
            <w:r w:rsidRPr="0007242C">
              <w:t>CMRB</w:t>
            </w:r>
          </w:p>
        </w:tc>
      </w:tr>
      <w:tr w:rsidR="00CD2279" w:rsidRPr="00CD2279" w14:paraId="09B65975"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7C806C03" w14:textId="77777777" w:rsidR="00CD2279" w:rsidRPr="0007242C" w:rsidRDefault="00CD2279" w:rsidP="00CD2279">
            <w:r w:rsidRPr="0007242C">
              <w:t>David Smith</w:t>
            </w:r>
          </w:p>
        </w:tc>
        <w:tc>
          <w:tcPr>
            <w:tcW w:w="3580" w:type="dxa"/>
            <w:tcBorders>
              <w:top w:val="nil"/>
              <w:left w:val="nil"/>
              <w:bottom w:val="nil"/>
              <w:right w:val="nil"/>
            </w:tcBorders>
            <w:shd w:val="clear" w:color="auto" w:fill="auto"/>
            <w:noWrap/>
            <w:vAlign w:val="center"/>
            <w:hideMark/>
          </w:tcPr>
          <w:p w14:paraId="65BC9DAF" w14:textId="77777777" w:rsidR="00CD2279" w:rsidRPr="0007242C" w:rsidRDefault="00063E6A" w:rsidP="00CD2279">
            <w:hyperlink r:id="rId16" w:history="1">
              <w:r w:rsidR="00CD2279" w:rsidRPr="0007242C">
                <w:t>David.smith@ars.usda.gov</w:t>
              </w:r>
            </w:hyperlink>
          </w:p>
        </w:tc>
        <w:tc>
          <w:tcPr>
            <w:tcW w:w="1060" w:type="dxa"/>
            <w:tcBorders>
              <w:top w:val="nil"/>
              <w:left w:val="nil"/>
              <w:bottom w:val="nil"/>
              <w:right w:val="nil"/>
            </w:tcBorders>
            <w:shd w:val="clear" w:color="auto" w:fill="auto"/>
            <w:noWrap/>
            <w:vAlign w:val="bottom"/>
            <w:hideMark/>
          </w:tcPr>
          <w:p w14:paraId="0FFA2050" w14:textId="77777777" w:rsidR="00CD2279" w:rsidRPr="0007242C" w:rsidRDefault="00CD2279" w:rsidP="0007242C">
            <w:r w:rsidRPr="0007242C">
              <w:t>CPER</w:t>
            </w:r>
          </w:p>
        </w:tc>
      </w:tr>
      <w:tr w:rsidR="00CD2279" w:rsidRPr="00CD2279" w14:paraId="4397B246"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3392A06A" w14:textId="77777777" w:rsidR="00CD2279" w:rsidRPr="0007242C" w:rsidRDefault="00CD2279" w:rsidP="00CD2279">
            <w:r w:rsidRPr="0007242C">
              <w:t>Kevin King</w:t>
            </w:r>
          </w:p>
        </w:tc>
        <w:tc>
          <w:tcPr>
            <w:tcW w:w="3580" w:type="dxa"/>
            <w:tcBorders>
              <w:top w:val="nil"/>
              <w:left w:val="nil"/>
              <w:bottom w:val="nil"/>
              <w:right w:val="nil"/>
            </w:tcBorders>
            <w:shd w:val="clear" w:color="auto" w:fill="auto"/>
            <w:noWrap/>
            <w:vAlign w:val="center"/>
            <w:hideMark/>
          </w:tcPr>
          <w:p w14:paraId="1B20E438" w14:textId="77777777" w:rsidR="00CD2279" w:rsidRPr="0007242C" w:rsidRDefault="00063E6A" w:rsidP="00CD2279">
            <w:hyperlink r:id="rId17" w:history="1">
              <w:r w:rsidR="00CD2279" w:rsidRPr="0007242C">
                <w:t>Kevin.king@ars.usda.gov</w:t>
              </w:r>
            </w:hyperlink>
          </w:p>
        </w:tc>
        <w:tc>
          <w:tcPr>
            <w:tcW w:w="1060" w:type="dxa"/>
            <w:tcBorders>
              <w:top w:val="nil"/>
              <w:left w:val="nil"/>
              <w:bottom w:val="nil"/>
              <w:right w:val="nil"/>
            </w:tcBorders>
            <w:shd w:val="clear" w:color="auto" w:fill="auto"/>
            <w:noWrap/>
            <w:vAlign w:val="bottom"/>
            <w:hideMark/>
          </w:tcPr>
          <w:p w14:paraId="57DFE66C" w14:textId="77777777" w:rsidR="00CD2279" w:rsidRPr="0007242C" w:rsidRDefault="00CD2279" w:rsidP="0007242C">
            <w:r w:rsidRPr="0007242C">
              <w:t>ECB</w:t>
            </w:r>
          </w:p>
        </w:tc>
      </w:tr>
      <w:tr w:rsidR="00CD2279" w:rsidRPr="00CD2279" w14:paraId="66D0AD27"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2D9EF6A1" w14:textId="77777777" w:rsidR="00CD2279" w:rsidRPr="0007242C" w:rsidRDefault="00CD2279" w:rsidP="00CD2279">
            <w:r w:rsidRPr="0007242C">
              <w:t>David Bosch</w:t>
            </w:r>
          </w:p>
        </w:tc>
        <w:tc>
          <w:tcPr>
            <w:tcW w:w="3580" w:type="dxa"/>
            <w:tcBorders>
              <w:top w:val="nil"/>
              <w:left w:val="nil"/>
              <w:bottom w:val="nil"/>
              <w:right w:val="nil"/>
            </w:tcBorders>
            <w:shd w:val="clear" w:color="auto" w:fill="auto"/>
            <w:noWrap/>
            <w:vAlign w:val="center"/>
            <w:hideMark/>
          </w:tcPr>
          <w:p w14:paraId="4668581A" w14:textId="77777777" w:rsidR="00CD2279" w:rsidRPr="0007242C" w:rsidRDefault="00063E6A" w:rsidP="00CD2279">
            <w:hyperlink r:id="rId18" w:history="1">
              <w:r w:rsidR="00CD2279" w:rsidRPr="0007242C">
                <w:t>David.bosch@ars.usda.gov</w:t>
              </w:r>
            </w:hyperlink>
          </w:p>
        </w:tc>
        <w:tc>
          <w:tcPr>
            <w:tcW w:w="1060" w:type="dxa"/>
            <w:tcBorders>
              <w:top w:val="nil"/>
              <w:left w:val="nil"/>
              <w:bottom w:val="nil"/>
              <w:right w:val="nil"/>
            </w:tcBorders>
            <w:shd w:val="clear" w:color="auto" w:fill="auto"/>
            <w:noWrap/>
            <w:vAlign w:val="bottom"/>
            <w:hideMark/>
          </w:tcPr>
          <w:p w14:paraId="2C08C094" w14:textId="77777777" w:rsidR="00CD2279" w:rsidRPr="0007242C" w:rsidRDefault="00CD2279" w:rsidP="0007242C">
            <w:r w:rsidRPr="0007242C">
              <w:t>GACP</w:t>
            </w:r>
          </w:p>
        </w:tc>
      </w:tr>
      <w:tr w:rsidR="00CD2279" w:rsidRPr="00CD2279" w14:paraId="362DA7FC"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6E8FA4A1" w14:textId="77777777" w:rsidR="00CD2279" w:rsidRPr="0007242C" w:rsidRDefault="00CD2279" w:rsidP="00CD2279">
            <w:r w:rsidRPr="0007242C">
              <w:t xml:space="preserve">Mark </w:t>
            </w:r>
            <w:proofErr w:type="spellStart"/>
            <w:r w:rsidRPr="0007242C">
              <w:t>Seyfried</w:t>
            </w:r>
            <w:proofErr w:type="spellEnd"/>
          </w:p>
        </w:tc>
        <w:tc>
          <w:tcPr>
            <w:tcW w:w="3580" w:type="dxa"/>
            <w:tcBorders>
              <w:top w:val="nil"/>
              <w:left w:val="nil"/>
              <w:bottom w:val="nil"/>
              <w:right w:val="nil"/>
            </w:tcBorders>
            <w:shd w:val="clear" w:color="auto" w:fill="auto"/>
            <w:noWrap/>
            <w:vAlign w:val="center"/>
            <w:hideMark/>
          </w:tcPr>
          <w:p w14:paraId="17ABB12C" w14:textId="77777777" w:rsidR="00CD2279" w:rsidRPr="0007242C" w:rsidRDefault="00063E6A" w:rsidP="00CD2279">
            <w:hyperlink r:id="rId19" w:history="1">
              <w:r w:rsidR="00CD2279" w:rsidRPr="0007242C">
                <w:t>mark.seyfried@ars.usda.gov</w:t>
              </w:r>
            </w:hyperlink>
          </w:p>
        </w:tc>
        <w:tc>
          <w:tcPr>
            <w:tcW w:w="1060" w:type="dxa"/>
            <w:tcBorders>
              <w:top w:val="nil"/>
              <w:left w:val="nil"/>
              <w:bottom w:val="nil"/>
              <w:right w:val="nil"/>
            </w:tcBorders>
            <w:shd w:val="clear" w:color="auto" w:fill="auto"/>
            <w:noWrap/>
            <w:vAlign w:val="bottom"/>
            <w:hideMark/>
          </w:tcPr>
          <w:p w14:paraId="30B8A20D" w14:textId="77777777" w:rsidR="00CD2279" w:rsidRPr="0007242C" w:rsidRDefault="00CD2279" w:rsidP="0007242C">
            <w:r w:rsidRPr="0007242C">
              <w:t>GB</w:t>
            </w:r>
          </w:p>
        </w:tc>
      </w:tr>
      <w:tr w:rsidR="00CD2279" w:rsidRPr="00CD2279" w14:paraId="518D3645"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10925188" w14:textId="6390B2E3" w:rsidR="00CD2279" w:rsidRPr="0007242C" w:rsidRDefault="00D8124C" w:rsidP="00CD2279">
            <w:r>
              <w:t xml:space="preserve">Kris </w:t>
            </w:r>
            <w:proofErr w:type="spellStart"/>
            <w:r>
              <w:t>H</w:t>
            </w:r>
            <w:r w:rsidR="00CD2279" w:rsidRPr="0007242C">
              <w:t>avstad</w:t>
            </w:r>
            <w:proofErr w:type="spellEnd"/>
          </w:p>
        </w:tc>
        <w:tc>
          <w:tcPr>
            <w:tcW w:w="3580" w:type="dxa"/>
            <w:tcBorders>
              <w:top w:val="nil"/>
              <w:left w:val="nil"/>
              <w:bottom w:val="nil"/>
              <w:right w:val="nil"/>
            </w:tcBorders>
            <w:shd w:val="clear" w:color="auto" w:fill="auto"/>
            <w:noWrap/>
            <w:vAlign w:val="center"/>
            <w:hideMark/>
          </w:tcPr>
          <w:p w14:paraId="584E7FDC" w14:textId="77777777" w:rsidR="00CD2279" w:rsidRPr="0007242C" w:rsidRDefault="00063E6A" w:rsidP="00CD2279">
            <w:hyperlink r:id="rId20" w:history="1">
              <w:r w:rsidR="00CD2279" w:rsidRPr="0007242C">
                <w:t>khavstad@nmsu.edu</w:t>
              </w:r>
            </w:hyperlink>
          </w:p>
        </w:tc>
        <w:tc>
          <w:tcPr>
            <w:tcW w:w="1060" w:type="dxa"/>
            <w:tcBorders>
              <w:top w:val="nil"/>
              <w:left w:val="nil"/>
              <w:bottom w:val="nil"/>
              <w:right w:val="nil"/>
            </w:tcBorders>
            <w:shd w:val="clear" w:color="auto" w:fill="auto"/>
            <w:noWrap/>
            <w:vAlign w:val="bottom"/>
            <w:hideMark/>
          </w:tcPr>
          <w:p w14:paraId="568BF044" w14:textId="77777777" w:rsidR="00CD2279" w:rsidRPr="0007242C" w:rsidRDefault="00CD2279" w:rsidP="0007242C">
            <w:r w:rsidRPr="0007242C">
              <w:t>JER</w:t>
            </w:r>
          </w:p>
        </w:tc>
      </w:tr>
      <w:tr w:rsidR="00CD2279" w:rsidRPr="00CD2279" w14:paraId="2C3F1339"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3167DF8A" w14:textId="77777777" w:rsidR="00CD2279" w:rsidRPr="0007242C" w:rsidRDefault="00CD2279" w:rsidP="00CD2279">
            <w:r w:rsidRPr="0007242C">
              <w:t xml:space="preserve">Sven </w:t>
            </w:r>
            <w:proofErr w:type="spellStart"/>
            <w:r w:rsidRPr="0007242C">
              <w:t>Bohm</w:t>
            </w:r>
            <w:proofErr w:type="spellEnd"/>
          </w:p>
        </w:tc>
        <w:tc>
          <w:tcPr>
            <w:tcW w:w="3580" w:type="dxa"/>
            <w:tcBorders>
              <w:top w:val="nil"/>
              <w:left w:val="nil"/>
              <w:bottom w:val="nil"/>
              <w:right w:val="nil"/>
            </w:tcBorders>
            <w:shd w:val="clear" w:color="auto" w:fill="auto"/>
            <w:noWrap/>
            <w:vAlign w:val="center"/>
            <w:hideMark/>
          </w:tcPr>
          <w:p w14:paraId="78F78F3D" w14:textId="77777777" w:rsidR="00CD2279" w:rsidRPr="0007242C" w:rsidRDefault="00063E6A" w:rsidP="00CD2279">
            <w:hyperlink r:id="rId21" w:history="1">
              <w:r w:rsidR="00CD2279" w:rsidRPr="0007242C">
                <w:t>bohms@msu.edu</w:t>
              </w:r>
            </w:hyperlink>
          </w:p>
        </w:tc>
        <w:tc>
          <w:tcPr>
            <w:tcW w:w="1060" w:type="dxa"/>
            <w:tcBorders>
              <w:top w:val="nil"/>
              <w:left w:val="nil"/>
              <w:bottom w:val="nil"/>
              <w:right w:val="nil"/>
            </w:tcBorders>
            <w:shd w:val="clear" w:color="auto" w:fill="auto"/>
            <w:noWrap/>
            <w:vAlign w:val="bottom"/>
            <w:hideMark/>
          </w:tcPr>
          <w:p w14:paraId="4C3F1CC2" w14:textId="77777777" w:rsidR="00CD2279" w:rsidRPr="0007242C" w:rsidRDefault="00CD2279" w:rsidP="0007242C">
            <w:r w:rsidRPr="0007242C">
              <w:t>KBS</w:t>
            </w:r>
          </w:p>
        </w:tc>
      </w:tr>
      <w:tr w:rsidR="00CD2279" w:rsidRPr="00CD2279" w14:paraId="2A868ABD"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0AD135E5" w14:textId="77777777" w:rsidR="00CD2279" w:rsidRPr="0007242C" w:rsidRDefault="00CD2279" w:rsidP="00CD2279">
            <w:r w:rsidRPr="0007242C">
              <w:t>Jude Maul</w:t>
            </w:r>
          </w:p>
        </w:tc>
        <w:tc>
          <w:tcPr>
            <w:tcW w:w="3580" w:type="dxa"/>
            <w:tcBorders>
              <w:top w:val="nil"/>
              <w:left w:val="nil"/>
              <w:bottom w:val="nil"/>
              <w:right w:val="nil"/>
            </w:tcBorders>
            <w:shd w:val="clear" w:color="auto" w:fill="auto"/>
            <w:noWrap/>
            <w:vAlign w:val="center"/>
            <w:hideMark/>
          </w:tcPr>
          <w:p w14:paraId="170D50E9" w14:textId="77777777" w:rsidR="00CD2279" w:rsidRPr="0007242C" w:rsidRDefault="00063E6A" w:rsidP="00CD2279">
            <w:hyperlink r:id="rId22" w:history="1">
              <w:r w:rsidR="00CD2279" w:rsidRPr="0007242C">
                <w:t>Jude.maul@ars.usda.gov</w:t>
              </w:r>
            </w:hyperlink>
          </w:p>
        </w:tc>
        <w:tc>
          <w:tcPr>
            <w:tcW w:w="1060" w:type="dxa"/>
            <w:tcBorders>
              <w:top w:val="nil"/>
              <w:left w:val="nil"/>
              <w:bottom w:val="nil"/>
              <w:right w:val="nil"/>
            </w:tcBorders>
            <w:shd w:val="clear" w:color="auto" w:fill="auto"/>
            <w:noWrap/>
            <w:vAlign w:val="bottom"/>
            <w:hideMark/>
          </w:tcPr>
          <w:p w14:paraId="74E5AF64" w14:textId="77777777" w:rsidR="00CD2279" w:rsidRPr="0007242C" w:rsidRDefault="00CD2279" w:rsidP="0007242C">
            <w:r w:rsidRPr="0007242C">
              <w:t>LCB</w:t>
            </w:r>
          </w:p>
        </w:tc>
      </w:tr>
      <w:tr w:rsidR="00CD2279" w:rsidRPr="00CD2279" w14:paraId="4C05AD51"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06852E6F" w14:textId="77777777" w:rsidR="00CD2279" w:rsidRPr="0007242C" w:rsidRDefault="00CD2279" w:rsidP="00CD2279">
            <w:r w:rsidRPr="0007242C">
              <w:t xml:space="preserve">Michel </w:t>
            </w:r>
            <w:proofErr w:type="spellStart"/>
            <w:r w:rsidRPr="0007242C">
              <w:t>Cavigelli</w:t>
            </w:r>
            <w:proofErr w:type="spellEnd"/>
          </w:p>
        </w:tc>
        <w:tc>
          <w:tcPr>
            <w:tcW w:w="3580" w:type="dxa"/>
            <w:tcBorders>
              <w:top w:val="nil"/>
              <w:left w:val="nil"/>
              <w:bottom w:val="nil"/>
              <w:right w:val="nil"/>
            </w:tcBorders>
            <w:shd w:val="clear" w:color="auto" w:fill="auto"/>
            <w:noWrap/>
            <w:vAlign w:val="center"/>
            <w:hideMark/>
          </w:tcPr>
          <w:p w14:paraId="3E530D86" w14:textId="77777777" w:rsidR="00CD2279" w:rsidRPr="0007242C" w:rsidRDefault="00063E6A" w:rsidP="00CD2279">
            <w:hyperlink r:id="rId23" w:history="1">
              <w:r w:rsidR="00CD2279" w:rsidRPr="0007242C">
                <w:t>Michel.cavigelli@ars.usda.gov</w:t>
              </w:r>
            </w:hyperlink>
          </w:p>
        </w:tc>
        <w:tc>
          <w:tcPr>
            <w:tcW w:w="1060" w:type="dxa"/>
            <w:tcBorders>
              <w:top w:val="nil"/>
              <w:left w:val="nil"/>
              <w:bottom w:val="nil"/>
              <w:right w:val="nil"/>
            </w:tcBorders>
            <w:shd w:val="clear" w:color="auto" w:fill="auto"/>
            <w:noWrap/>
            <w:vAlign w:val="bottom"/>
            <w:hideMark/>
          </w:tcPr>
          <w:p w14:paraId="133AA62C" w14:textId="77777777" w:rsidR="00CD2279" w:rsidRPr="0007242C" w:rsidRDefault="00CD2279" w:rsidP="0007242C">
            <w:r w:rsidRPr="0007242C">
              <w:t>LCB</w:t>
            </w:r>
          </w:p>
        </w:tc>
      </w:tr>
      <w:tr w:rsidR="00CD2279" w:rsidRPr="00CD2279" w14:paraId="47E402D1"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10D6D345" w14:textId="77777777" w:rsidR="00CD2279" w:rsidRPr="0007242C" w:rsidRDefault="00CD2279" w:rsidP="00CD2279">
            <w:r w:rsidRPr="0007242C">
              <w:t>JR Rigby</w:t>
            </w:r>
          </w:p>
        </w:tc>
        <w:tc>
          <w:tcPr>
            <w:tcW w:w="3580" w:type="dxa"/>
            <w:tcBorders>
              <w:top w:val="nil"/>
              <w:left w:val="nil"/>
              <w:bottom w:val="nil"/>
              <w:right w:val="nil"/>
            </w:tcBorders>
            <w:shd w:val="clear" w:color="auto" w:fill="auto"/>
            <w:noWrap/>
            <w:vAlign w:val="center"/>
            <w:hideMark/>
          </w:tcPr>
          <w:p w14:paraId="1C73C58D" w14:textId="77777777" w:rsidR="00CD2279" w:rsidRPr="0007242C" w:rsidRDefault="00063E6A" w:rsidP="00CD2279">
            <w:hyperlink r:id="rId24" w:history="1">
              <w:r w:rsidR="00CD2279" w:rsidRPr="0007242C">
                <w:t>Jr.rigby@ars.usda.gov</w:t>
              </w:r>
            </w:hyperlink>
          </w:p>
        </w:tc>
        <w:tc>
          <w:tcPr>
            <w:tcW w:w="1060" w:type="dxa"/>
            <w:tcBorders>
              <w:top w:val="nil"/>
              <w:left w:val="nil"/>
              <w:bottom w:val="nil"/>
              <w:right w:val="nil"/>
            </w:tcBorders>
            <w:shd w:val="clear" w:color="auto" w:fill="auto"/>
            <w:noWrap/>
            <w:vAlign w:val="bottom"/>
            <w:hideMark/>
          </w:tcPr>
          <w:p w14:paraId="206E70A4" w14:textId="77777777" w:rsidR="00CD2279" w:rsidRPr="0007242C" w:rsidRDefault="00CD2279" w:rsidP="0007242C">
            <w:r w:rsidRPr="0007242C">
              <w:t>LMRB</w:t>
            </w:r>
          </w:p>
        </w:tc>
      </w:tr>
      <w:tr w:rsidR="00CD2279" w:rsidRPr="00CD2279" w14:paraId="533BB80F"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114CF175" w14:textId="77777777" w:rsidR="00CD2279" w:rsidRPr="0007242C" w:rsidRDefault="00CD2279" w:rsidP="00CD2279">
            <w:r w:rsidRPr="0007242C">
              <w:t>Mark Liebig</w:t>
            </w:r>
          </w:p>
        </w:tc>
        <w:tc>
          <w:tcPr>
            <w:tcW w:w="3580" w:type="dxa"/>
            <w:tcBorders>
              <w:top w:val="nil"/>
              <w:left w:val="nil"/>
              <w:bottom w:val="nil"/>
              <w:right w:val="nil"/>
            </w:tcBorders>
            <w:shd w:val="clear" w:color="auto" w:fill="auto"/>
            <w:noWrap/>
            <w:vAlign w:val="center"/>
            <w:hideMark/>
          </w:tcPr>
          <w:p w14:paraId="4FD7CDB3" w14:textId="77777777" w:rsidR="00CD2279" w:rsidRPr="0007242C" w:rsidRDefault="00063E6A" w:rsidP="00CD2279">
            <w:hyperlink r:id="rId25" w:history="1">
              <w:r w:rsidR="00CD2279" w:rsidRPr="0007242C">
                <w:t>Mark.liebig@ars.usda.gov</w:t>
              </w:r>
            </w:hyperlink>
          </w:p>
        </w:tc>
        <w:tc>
          <w:tcPr>
            <w:tcW w:w="1060" w:type="dxa"/>
            <w:tcBorders>
              <w:top w:val="nil"/>
              <w:left w:val="nil"/>
              <w:bottom w:val="nil"/>
              <w:right w:val="nil"/>
            </w:tcBorders>
            <w:shd w:val="clear" w:color="auto" w:fill="auto"/>
            <w:noWrap/>
            <w:vAlign w:val="bottom"/>
            <w:hideMark/>
          </w:tcPr>
          <w:p w14:paraId="24FB2EB6" w14:textId="77777777" w:rsidR="00CD2279" w:rsidRPr="0007242C" w:rsidRDefault="00CD2279" w:rsidP="0007242C">
            <w:r w:rsidRPr="0007242C">
              <w:t>NP</w:t>
            </w:r>
          </w:p>
        </w:tc>
      </w:tr>
      <w:tr w:rsidR="00CD2279" w:rsidRPr="00CD2279" w14:paraId="03B3E27E"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3510FD47" w14:textId="77777777" w:rsidR="00CD2279" w:rsidRPr="0007242C" w:rsidRDefault="00CD2279" w:rsidP="00CD2279">
            <w:r w:rsidRPr="0007242C">
              <w:t xml:space="preserve">Andy </w:t>
            </w:r>
            <w:proofErr w:type="spellStart"/>
            <w:r w:rsidRPr="0007242C">
              <w:t>Suyker</w:t>
            </w:r>
            <w:proofErr w:type="spellEnd"/>
          </w:p>
        </w:tc>
        <w:tc>
          <w:tcPr>
            <w:tcW w:w="3580" w:type="dxa"/>
            <w:tcBorders>
              <w:top w:val="nil"/>
              <w:left w:val="nil"/>
              <w:bottom w:val="nil"/>
              <w:right w:val="nil"/>
            </w:tcBorders>
            <w:shd w:val="clear" w:color="auto" w:fill="auto"/>
            <w:noWrap/>
            <w:vAlign w:val="center"/>
            <w:hideMark/>
          </w:tcPr>
          <w:p w14:paraId="67D160DC" w14:textId="77777777" w:rsidR="00CD2279" w:rsidRPr="0007242C" w:rsidRDefault="00063E6A" w:rsidP="00CD2279">
            <w:hyperlink r:id="rId26" w:history="1">
              <w:r w:rsidR="00CD2279" w:rsidRPr="0007242C">
                <w:t>asuyker@unl.edu</w:t>
              </w:r>
            </w:hyperlink>
          </w:p>
        </w:tc>
        <w:tc>
          <w:tcPr>
            <w:tcW w:w="1060" w:type="dxa"/>
            <w:tcBorders>
              <w:top w:val="nil"/>
              <w:left w:val="nil"/>
              <w:bottom w:val="nil"/>
              <w:right w:val="nil"/>
            </w:tcBorders>
            <w:shd w:val="clear" w:color="auto" w:fill="auto"/>
            <w:noWrap/>
            <w:vAlign w:val="bottom"/>
            <w:hideMark/>
          </w:tcPr>
          <w:p w14:paraId="667DD07B" w14:textId="77777777" w:rsidR="00CD2279" w:rsidRPr="0007242C" w:rsidRDefault="00CD2279" w:rsidP="0007242C">
            <w:r w:rsidRPr="0007242C">
              <w:t>PRHPA</w:t>
            </w:r>
          </w:p>
        </w:tc>
      </w:tr>
      <w:tr w:rsidR="00CD2279" w:rsidRPr="00CD2279" w14:paraId="5795E23F"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2704AD27" w14:textId="77777777" w:rsidR="00CD2279" w:rsidRPr="0007242C" w:rsidRDefault="00CD2279" w:rsidP="00CD2279">
            <w:r w:rsidRPr="0007242C">
              <w:t xml:space="preserve">Dennis </w:t>
            </w:r>
            <w:proofErr w:type="spellStart"/>
            <w:r w:rsidRPr="0007242C">
              <w:t>Wallin</w:t>
            </w:r>
            <w:proofErr w:type="spellEnd"/>
          </w:p>
        </w:tc>
        <w:tc>
          <w:tcPr>
            <w:tcW w:w="3580" w:type="dxa"/>
            <w:tcBorders>
              <w:top w:val="nil"/>
              <w:left w:val="nil"/>
              <w:bottom w:val="nil"/>
              <w:right w:val="nil"/>
            </w:tcBorders>
            <w:shd w:val="clear" w:color="auto" w:fill="auto"/>
            <w:noWrap/>
            <w:vAlign w:val="center"/>
            <w:hideMark/>
          </w:tcPr>
          <w:p w14:paraId="79737F8A" w14:textId="77777777" w:rsidR="00CD2279" w:rsidRPr="0007242C" w:rsidRDefault="00063E6A" w:rsidP="00CD2279">
            <w:hyperlink r:id="rId27" w:history="1">
              <w:r w:rsidR="00CD2279" w:rsidRPr="0007242C">
                <w:t>Dennis.wallin@ars.usda.gov</w:t>
              </w:r>
            </w:hyperlink>
          </w:p>
        </w:tc>
        <w:tc>
          <w:tcPr>
            <w:tcW w:w="1060" w:type="dxa"/>
            <w:tcBorders>
              <w:top w:val="nil"/>
              <w:left w:val="nil"/>
              <w:bottom w:val="nil"/>
              <w:right w:val="nil"/>
            </w:tcBorders>
            <w:shd w:val="clear" w:color="auto" w:fill="auto"/>
            <w:noWrap/>
            <w:vAlign w:val="bottom"/>
            <w:hideMark/>
          </w:tcPr>
          <w:p w14:paraId="5EF0D12F" w14:textId="77777777" w:rsidR="00CD2279" w:rsidRPr="0007242C" w:rsidRDefault="00CD2279" w:rsidP="0007242C">
            <w:r w:rsidRPr="0007242C">
              <w:t>SP</w:t>
            </w:r>
          </w:p>
        </w:tc>
      </w:tr>
      <w:tr w:rsidR="00CD2279" w:rsidRPr="00CD2279" w14:paraId="30513B2E"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2C15737D" w14:textId="77777777" w:rsidR="00CD2279" w:rsidRPr="0007242C" w:rsidRDefault="00CD2279" w:rsidP="00CD2279">
            <w:r w:rsidRPr="0007242C">
              <w:t xml:space="preserve">Daren </w:t>
            </w:r>
            <w:proofErr w:type="spellStart"/>
            <w:r w:rsidRPr="0007242C">
              <w:t>Harmel</w:t>
            </w:r>
            <w:proofErr w:type="spellEnd"/>
          </w:p>
        </w:tc>
        <w:tc>
          <w:tcPr>
            <w:tcW w:w="3580" w:type="dxa"/>
            <w:tcBorders>
              <w:top w:val="nil"/>
              <w:left w:val="nil"/>
              <w:bottom w:val="nil"/>
              <w:right w:val="nil"/>
            </w:tcBorders>
            <w:shd w:val="clear" w:color="auto" w:fill="auto"/>
            <w:noWrap/>
            <w:vAlign w:val="center"/>
            <w:hideMark/>
          </w:tcPr>
          <w:p w14:paraId="4DFC4BC4" w14:textId="77777777" w:rsidR="00CD2279" w:rsidRPr="0007242C" w:rsidRDefault="00063E6A" w:rsidP="00CD2279">
            <w:hyperlink r:id="rId28" w:history="1">
              <w:r w:rsidR="00CD2279" w:rsidRPr="0007242C">
                <w:t>Daren.harmel@ars.usda.gov</w:t>
              </w:r>
            </w:hyperlink>
          </w:p>
        </w:tc>
        <w:tc>
          <w:tcPr>
            <w:tcW w:w="1060" w:type="dxa"/>
            <w:tcBorders>
              <w:top w:val="nil"/>
              <w:left w:val="nil"/>
              <w:bottom w:val="nil"/>
              <w:right w:val="nil"/>
            </w:tcBorders>
            <w:shd w:val="clear" w:color="auto" w:fill="auto"/>
            <w:noWrap/>
            <w:vAlign w:val="bottom"/>
            <w:hideMark/>
          </w:tcPr>
          <w:p w14:paraId="62F3715F" w14:textId="77777777" w:rsidR="00CD2279" w:rsidRPr="0007242C" w:rsidRDefault="00CD2279" w:rsidP="0007242C">
            <w:r w:rsidRPr="0007242C">
              <w:t>TG</w:t>
            </w:r>
          </w:p>
        </w:tc>
      </w:tr>
      <w:tr w:rsidR="00CD2279" w:rsidRPr="00CD2279" w14:paraId="7BD6E883"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37581C3E" w14:textId="77777777" w:rsidR="00CD2279" w:rsidRPr="0007242C" w:rsidRDefault="00CD2279" w:rsidP="00CD2279">
            <w:r w:rsidRPr="0007242C">
              <w:t xml:space="preserve">Jeff </w:t>
            </w:r>
            <w:proofErr w:type="spellStart"/>
            <w:r w:rsidRPr="0007242C">
              <w:t>Gonet</w:t>
            </w:r>
            <w:proofErr w:type="spellEnd"/>
          </w:p>
        </w:tc>
        <w:tc>
          <w:tcPr>
            <w:tcW w:w="3580" w:type="dxa"/>
            <w:tcBorders>
              <w:top w:val="nil"/>
              <w:left w:val="nil"/>
              <w:bottom w:val="nil"/>
              <w:right w:val="nil"/>
            </w:tcBorders>
            <w:shd w:val="clear" w:color="auto" w:fill="auto"/>
            <w:noWrap/>
            <w:vAlign w:val="center"/>
            <w:hideMark/>
          </w:tcPr>
          <w:p w14:paraId="4A4049C5" w14:textId="04C24E96" w:rsidR="00CD2279" w:rsidRPr="0007242C" w:rsidRDefault="00063E6A" w:rsidP="00CD2279">
            <w:bookmarkStart w:id="1" w:name="_GoBack"/>
            <w:bookmarkEnd w:id="1"/>
            <w:r w:rsidRPr="00063E6A">
              <w:t>Jeffery.Gonet@ars.usda.gov</w:t>
            </w:r>
          </w:p>
        </w:tc>
        <w:tc>
          <w:tcPr>
            <w:tcW w:w="1060" w:type="dxa"/>
            <w:tcBorders>
              <w:top w:val="nil"/>
              <w:left w:val="nil"/>
              <w:bottom w:val="nil"/>
              <w:right w:val="nil"/>
            </w:tcBorders>
            <w:shd w:val="clear" w:color="auto" w:fill="auto"/>
            <w:noWrap/>
            <w:vAlign w:val="bottom"/>
            <w:hideMark/>
          </w:tcPr>
          <w:p w14:paraId="1F5ADCD7" w14:textId="77777777" w:rsidR="00CD2279" w:rsidRPr="0007242C" w:rsidRDefault="00CD2279" w:rsidP="0007242C">
            <w:r w:rsidRPr="0007242C">
              <w:t>UCB</w:t>
            </w:r>
          </w:p>
        </w:tc>
      </w:tr>
      <w:tr w:rsidR="00CD2279" w:rsidRPr="00CD2279" w14:paraId="3A98439B"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7EA2E392" w14:textId="77777777" w:rsidR="00CD2279" w:rsidRPr="0007242C" w:rsidRDefault="00CD2279" w:rsidP="00CD2279">
            <w:r w:rsidRPr="0007242C">
              <w:t>Tom Moorman</w:t>
            </w:r>
          </w:p>
        </w:tc>
        <w:tc>
          <w:tcPr>
            <w:tcW w:w="3580" w:type="dxa"/>
            <w:tcBorders>
              <w:top w:val="nil"/>
              <w:left w:val="nil"/>
              <w:bottom w:val="nil"/>
              <w:right w:val="nil"/>
            </w:tcBorders>
            <w:shd w:val="clear" w:color="auto" w:fill="auto"/>
            <w:noWrap/>
            <w:vAlign w:val="center"/>
            <w:hideMark/>
          </w:tcPr>
          <w:p w14:paraId="4A014D27" w14:textId="77777777" w:rsidR="00CD2279" w:rsidRPr="0007242C" w:rsidRDefault="00063E6A" w:rsidP="00CD2279">
            <w:hyperlink r:id="rId29" w:history="1">
              <w:r w:rsidR="00CD2279" w:rsidRPr="0007242C">
                <w:t>Tom.moorman@ars.usda.gov</w:t>
              </w:r>
            </w:hyperlink>
          </w:p>
        </w:tc>
        <w:tc>
          <w:tcPr>
            <w:tcW w:w="1060" w:type="dxa"/>
            <w:tcBorders>
              <w:top w:val="nil"/>
              <w:left w:val="nil"/>
              <w:bottom w:val="nil"/>
              <w:right w:val="nil"/>
            </w:tcBorders>
            <w:shd w:val="clear" w:color="auto" w:fill="auto"/>
            <w:noWrap/>
            <w:vAlign w:val="bottom"/>
            <w:hideMark/>
          </w:tcPr>
          <w:p w14:paraId="2EF9A769" w14:textId="77777777" w:rsidR="00CD2279" w:rsidRPr="0007242C" w:rsidRDefault="00CD2279" w:rsidP="0007242C">
            <w:r w:rsidRPr="0007242C">
              <w:t>UMRB</w:t>
            </w:r>
          </w:p>
        </w:tc>
      </w:tr>
      <w:tr w:rsidR="00CD2279" w:rsidRPr="00CD2279" w14:paraId="5E443258"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7E6670B0" w14:textId="77777777" w:rsidR="00CD2279" w:rsidRPr="0007242C" w:rsidRDefault="00CD2279" w:rsidP="00CD2279">
            <w:r w:rsidRPr="0007242C">
              <w:t xml:space="preserve">Abdullah </w:t>
            </w:r>
            <w:proofErr w:type="spellStart"/>
            <w:r w:rsidRPr="0007242C">
              <w:t>Jaradat</w:t>
            </w:r>
            <w:proofErr w:type="spellEnd"/>
          </w:p>
        </w:tc>
        <w:tc>
          <w:tcPr>
            <w:tcW w:w="3580" w:type="dxa"/>
            <w:tcBorders>
              <w:top w:val="nil"/>
              <w:left w:val="nil"/>
              <w:bottom w:val="nil"/>
              <w:right w:val="nil"/>
            </w:tcBorders>
            <w:shd w:val="clear" w:color="auto" w:fill="auto"/>
            <w:noWrap/>
            <w:vAlign w:val="bottom"/>
            <w:hideMark/>
          </w:tcPr>
          <w:p w14:paraId="3AFE18E8" w14:textId="77777777" w:rsidR="00CD2279" w:rsidRPr="0007242C" w:rsidRDefault="00063E6A" w:rsidP="00CD2279">
            <w:hyperlink r:id="rId30" w:history="1">
              <w:r w:rsidR="00CD2279" w:rsidRPr="0007242C">
                <w:t>Abdullah.jaradat@ars.usda.gov</w:t>
              </w:r>
            </w:hyperlink>
          </w:p>
        </w:tc>
        <w:tc>
          <w:tcPr>
            <w:tcW w:w="1060" w:type="dxa"/>
            <w:tcBorders>
              <w:top w:val="nil"/>
              <w:left w:val="nil"/>
              <w:bottom w:val="nil"/>
              <w:right w:val="nil"/>
            </w:tcBorders>
            <w:shd w:val="clear" w:color="auto" w:fill="auto"/>
            <w:noWrap/>
            <w:vAlign w:val="bottom"/>
            <w:hideMark/>
          </w:tcPr>
          <w:p w14:paraId="410E579E" w14:textId="77777777" w:rsidR="00CD2279" w:rsidRPr="0007242C" w:rsidRDefault="00CD2279" w:rsidP="0007242C">
            <w:r w:rsidRPr="0007242C">
              <w:t>UMRB</w:t>
            </w:r>
          </w:p>
        </w:tc>
      </w:tr>
      <w:tr w:rsidR="00CD2279" w:rsidRPr="00CD2279" w14:paraId="2EEFADD6" w14:textId="77777777" w:rsidTr="00CD2279">
        <w:trPr>
          <w:trHeight w:val="280"/>
          <w:jc w:val="center"/>
        </w:trPr>
        <w:tc>
          <w:tcPr>
            <w:tcW w:w="2680" w:type="dxa"/>
            <w:tcBorders>
              <w:top w:val="nil"/>
              <w:left w:val="nil"/>
              <w:bottom w:val="nil"/>
              <w:right w:val="nil"/>
            </w:tcBorders>
            <w:shd w:val="clear" w:color="auto" w:fill="auto"/>
            <w:noWrap/>
            <w:vAlign w:val="bottom"/>
            <w:hideMark/>
          </w:tcPr>
          <w:p w14:paraId="794C5406" w14:textId="77777777" w:rsidR="00CD2279" w:rsidRPr="0007242C" w:rsidRDefault="00CD2279" w:rsidP="00CD2279">
            <w:r w:rsidRPr="0007242C">
              <w:t>Jason Wong</w:t>
            </w:r>
          </w:p>
        </w:tc>
        <w:tc>
          <w:tcPr>
            <w:tcW w:w="3580" w:type="dxa"/>
            <w:tcBorders>
              <w:top w:val="nil"/>
              <w:left w:val="nil"/>
              <w:bottom w:val="nil"/>
              <w:right w:val="nil"/>
            </w:tcBorders>
            <w:shd w:val="clear" w:color="auto" w:fill="auto"/>
            <w:noWrap/>
            <w:vAlign w:val="center"/>
            <w:hideMark/>
          </w:tcPr>
          <w:p w14:paraId="00406644" w14:textId="77777777" w:rsidR="00CD2279" w:rsidRPr="0007242C" w:rsidRDefault="00063E6A" w:rsidP="00CD2279">
            <w:hyperlink r:id="rId31" w:history="1">
              <w:r w:rsidR="00CD2279" w:rsidRPr="0007242C">
                <w:t>Jason.wong@ars.usda.gov</w:t>
              </w:r>
            </w:hyperlink>
          </w:p>
        </w:tc>
        <w:tc>
          <w:tcPr>
            <w:tcW w:w="1060" w:type="dxa"/>
            <w:tcBorders>
              <w:top w:val="nil"/>
              <w:left w:val="nil"/>
              <w:bottom w:val="nil"/>
              <w:right w:val="nil"/>
            </w:tcBorders>
            <w:shd w:val="clear" w:color="auto" w:fill="auto"/>
            <w:noWrap/>
            <w:vAlign w:val="bottom"/>
            <w:hideMark/>
          </w:tcPr>
          <w:p w14:paraId="419FEA63" w14:textId="77777777" w:rsidR="00CD2279" w:rsidRPr="0007242C" w:rsidRDefault="00CD2279" w:rsidP="0007242C">
            <w:r w:rsidRPr="0007242C">
              <w:t>WGEW</w:t>
            </w:r>
          </w:p>
        </w:tc>
      </w:tr>
    </w:tbl>
    <w:p w14:paraId="5FF40AD9" w14:textId="77777777" w:rsidR="00B04F93" w:rsidRPr="0007242C" w:rsidRDefault="00B04F93" w:rsidP="0007242C"/>
    <w:p w14:paraId="0DB54339" w14:textId="77777777" w:rsidR="00B04F93" w:rsidRPr="0007242C" w:rsidRDefault="00B04F93" w:rsidP="0007242C"/>
    <w:p w14:paraId="7EFA9E3F" w14:textId="77777777" w:rsidR="007A6063" w:rsidRPr="0007242C" w:rsidRDefault="007A6063" w:rsidP="0007242C"/>
    <w:p w14:paraId="28FCE433" w14:textId="77777777" w:rsidR="000008A7" w:rsidRPr="00476AF8" w:rsidRDefault="000008A7" w:rsidP="00260279"/>
    <w:p w14:paraId="6399E408" w14:textId="3A81FE62" w:rsidR="0006633B" w:rsidRPr="0007242C" w:rsidRDefault="0006633B" w:rsidP="00260279"/>
    <w:p w14:paraId="2E01D286" w14:textId="77777777" w:rsidR="00A0299F" w:rsidRPr="0007242C" w:rsidRDefault="00A0299F" w:rsidP="0007242C"/>
    <w:p w14:paraId="16F62591" w14:textId="77777777" w:rsidR="00A0299F" w:rsidRPr="0007242C" w:rsidRDefault="00A0299F" w:rsidP="0007242C"/>
    <w:p w14:paraId="15B8B3F5" w14:textId="77777777" w:rsidR="009C01F0" w:rsidRPr="0007242C" w:rsidRDefault="009C01F0" w:rsidP="00260279"/>
    <w:p w14:paraId="6A6EAA5E" w14:textId="77777777" w:rsidR="0024150B" w:rsidRPr="0007242C" w:rsidRDefault="0024150B" w:rsidP="0007242C"/>
    <w:p w14:paraId="6EC82A40" w14:textId="77777777" w:rsidR="0024150B" w:rsidRPr="0007242C" w:rsidRDefault="0024150B" w:rsidP="0007242C"/>
    <w:p w14:paraId="206CA1E1" w14:textId="77777777" w:rsidR="00C01FC9" w:rsidRPr="0007242C" w:rsidRDefault="00C01FC9" w:rsidP="0007242C"/>
    <w:p w14:paraId="7795EC56" w14:textId="77777777" w:rsidR="00BE1A5A" w:rsidRPr="0007242C" w:rsidRDefault="00BE1A5A" w:rsidP="00260279">
      <w:r w:rsidRPr="0007242C">
        <w:br w:type="page"/>
      </w:r>
    </w:p>
    <w:p w14:paraId="053A8442" w14:textId="13B4CE1D" w:rsidR="006435CF" w:rsidRDefault="006435CF" w:rsidP="00260279">
      <w:pPr>
        <w:rPr>
          <w:rFonts w:ascii="Times New Roman" w:eastAsiaTheme="minorHAnsi" w:hAnsi="Times New Roman" w:cs="Times New Roman"/>
          <w:sz w:val="22"/>
          <w:szCs w:val="22"/>
          <w:lang w:val="en-AU"/>
        </w:rPr>
      </w:pPr>
    </w:p>
    <w:p w14:paraId="653F3905" w14:textId="229F7053" w:rsidR="0041464E" w:rsidRDefault="0041464E" w:rsidP="00260279">
      <w:pPr>
        <w:rPr>
          <w:b/>
        </w:rPr>
      </w:pPr>
      <w:r>
        <w:rPr>
          <w:b/>
        </w:rPr>
        <w:t>Appendix A.</w:t>
      </w:r>
      <w:r>
        <w:rPr>
          <w:b/>
        </w:rPr>
        <w:tab/>
        <w:t>Attendees of Meteorological Observations Breakout Group</w:t>
      </w:r>
    </w:p>
    <w:p w14:paraId="293CF568" w14:textId="77777777" w:rsidR="0041464E" w:rsidRDefault="0041464E" w:rsidP="00260279">
      <w:pPr>
        <w:rPr>
          <w:b/>
        </w:rPr>
      </w:pPr>
    </w:p>
    <w:p w14:paraId="457B60CA" w14:textId="4E1DEA97" w:rsidR="0041464E" w:rsidRPr="001B28C5" w:rsidRDefault="0041464E" w:rsidP="00260279">
      <w:r w:rsidRPr="001B28C5">
        <w:t xml:space="preserve">NOTE: </w:t>
      </w:r>
      <w:r w:rsidR="001B28C5" w:rsidRPr="001B28C5">
        <w:t xml:space="preserve">This list is </w:t>
      </w:r>
      <w:proofErr w:type="gramStart"/>
      <w:r w:rsidR="001B28C5" w:rsidRPr="001B28C5">
        <w:t>incomplete</w:t>
      </w:r>
      <w:proofErr w:type="gramEnd"/>
      <w:r w:rsidR="001B28C5" w:rsidRPr="001B28C5">
        <w:t xml:space="preserve"> as</w:t>
      </w:r>
      <w:r w:rsidRPr="001B28C5">
        <w:t xml:space="preserve"> roll call </w:t>
      </w:r>
      <w:r w:rsidR="00D53C8A" w:rsidRPr="001B28C5">
        <w:t>was not taken.</w:t>
      </w:r>
      <w:r w:rsidR="001B28C5" w:rsidRPr="001B28C5">
        <w:t xml:space="preserve"> P</w:t>
      </w:r>
      <w:r w:rsidRPr="001B28C5">
        <w:t xml:space="preserve">lease </w:t>
      </w:r>
      <w:r w:rsidR="001B28C5" w:rsidRPr="001B28C5">
        <w:t xml:space="preserve">notify David Goodrich if you would like your name to be added to the list. </w:t>
      </w:r>
    </w:p>
    <w:p w14:paraId="6CBD8130" w14:textId="77777777" w:rsidR="001B28C5" w:rsidRDefault="001B28C5" w:rsidP="00260279">
      <w:pPr>
        <w:rPr>
          <w:b/>
        </w:rPr>
      </w:pPr>
    </w:p>
    <w:p w14:paraId="4B24F094" w14:textId="7F06C7C1" w:rsidR="00213BAB" w:rsidRDefault="00213BAB" w:rsidP="00260279">
      <w:r>
        <w:t>Breakout Leads</w:t>
      </w:r>
    </w:p>
    <w:p w14:paraId="632E3727" w14:textId="5E5FA3C1" w:rsidR="00213BAB" w:rsidRDefault="00213BAB" w:rsidP="00260279">
      <w:pPr>
        <w:pStyle w:val="ListParagraph"/>
        <w:numPr>
          <w:ilvl w:val="4"/>
          <w:numId w:val="17"/>
        </w:numPr>
        <w:ind w:left="0" w:firstLine="0"/>
      </w:pPr>
      <w:r>
        <w:t>John Baker</w:t>
      </w:r>
      <w:r w:rsidR="00260279">
        <w:tab/>
      </w:r>
    </w:p>
    <w:p w14:paraId="51155CD9" w14:textId="2D248894" w:rsidR="00213BAB" w:rsidRDefault="00213BAB" w:rsidP="00260279">
      <w:pPr>
        <w:pStyle w:val="ListParagraph"/>
        <w:numPr>
          <w:ilvl w:val="4"/>
          <w:numId w:val="17"/>
        </w:numPr>
        <w:ind w:left="0" w:firstLine="0"/>
      </w:pPr>
      <w:r>
        <w:t>David Goodrich</w:t>
      </w:r>
    </w:p>
    <w:p w14:paraId="3B97D802" w14:textId="6FED4A75" w:rsidR="00213BAB" w:rsidRDefault="00213BAB" w:rsidP="00260279">
      <w:r>
        <w:t>Attendees</w:t>
      </w:r>
    </w:p>
    <w:p w14:paraId="4B46A323" w14:textId="45C12B67" w:rsidR="00213BAB" w:rsidRDefault="00213BAB" w:rsidP="00260279">
      <w:pPr>
        <w:pStyle w:val="ListParagraph"/>
        <w:numPr>
          <w:ilvl w:val="4"/>
          <w:numId w:val="17"/>
        </w:numPr>
        <w:ind w:left="0" w:firstLine="0"/>
      </w:pPr>
      <w:r>
        <w:t xml:space="preserve">Daniel </w:t>
      </w:r>
      <w:proofErr w:type="spellStart"/>
      <w:r>
        <w:t>Moriasi</w:t>
      </w:r>
      <w:proofErr w:type="spellEnd"/>
    </w:p>
    <w:p w14:paraId="4121B8F3" w14:textId="1B6593B2" w:rsidR="00213BAB" w:rsidRDefault="00213BAB" w:rsidP="00260279">
      <w:pPr>
        <w:pStyle w:val="ListParagraph"/>
        <w:numPr>
          <w:ilvl w:val="4"/>
          <w:numId w:val="17"/>
        </w:numPr>
        <w:ind w:left="0" w:firstLine="0"/>
      </w:pPr>
      <w:r w:rsidRPr="00213BAB">
        <w:t xml:space="preserve">Claire </w:t>
      </w:r>
      <w:proofErr w:type="spellStart"/>
      <w:r w:rsidRPr="00213BAB">
        <w:t>Baffaut</w:t>
      </w:r>
      <w:proofErr w:type="spellEnd"/>
    </w:p>
    <w:p w14:paraId="22DFC232" w14:textId="47422F5B" w:rsidR="00213BAB" w:rsidRDefault="00213BAB" w:rsidP="00260279">
      <w:pPr>
        <w:pStyle w:val="ListParagraph"/>
        <w:numPr>
          <w:ilvl w:val="4"/>
          <w:numId w:val="17"/>
        </w:numPr>
        <w:ind w:left="0" w:firstLine="0"/>
      </w:pPr>
      <w:r>
        <w:t>Kevin King</w:t>
      </w:r>
    </w:p>
    <w:p w14:paraId="7D29CA48" w14:textId="4330B89B" w:rsidR="00213BAB" w:rsidRDefault="00213BAB" w:rsidP="00260279">
      <w:pPr>
        <w:pStyle w:val="ListParagraph"/>
        <w:numPr>
          <w:ilvl w:val="4"/>
          <w:numId w:val="17"/>
        </w:numPr>
        <w:ind w:left="0" w:firstLine="0"/>
      </w:pPr>
      <w:r>
        <w:t>JR Rigby</w:t>
      </w:r>
    </w:p>
    <w:p w14:paraId="511F91FF" w14:textId="3D95FA08" w:rsidR="00213BAB" w:rsidRDefault="00213BAB" w:rsidP="00260279">
      <w:pPr>
        <w:pStyle w:val="ListParagraph"/>
        <w:numPr>
          <w:ilvl w:val="4"/>
          <w:numId w:val="17"/>
        </w:numPr>
        <w:ind w:left="0" w:firstLine="0"/>
      </w:pPr>
      <w:r w:rsidRPr="00213BAB">
        <w:t>Jeff Campbell</w:t>
      </w:r>
    </w:p>
    <w:p w14:paraId="3DA5DF1F" w14:textId="67AACD8A" w:rsidR="00213BAB" w:rsidRDefault="00213BAB" w:rsidP="00D53C8A">
      <w:pPr>
        <w:pStyle w:val="ListParagraph"/>
        <w:numPr>
          <w:ilvl w:val="4"/>
          <w:numId w:val="17"/>
        </w:numPr>
        <w:ind w:left="0" w:firstLine="0"/>
      </w:pPr>
      <w:r w:rsidRPr="00213BAB">
        <w:t xml:space="preserve">Lindsey </w:t>
      </w:r>
      <w:proofErr w:type="spellStart"/>
      <w:r w:rsidRPr="00213BAB">
        <w:t>Rustad</w:t>
      </w:r>
      <w:proofErr w:type="spellEnd"/>
    </w:p>
    <w:p w14:paraId="1F6D766A" w14:textId="5F484B94" w:rsidR="00213BAB" w:rsidRDefault="00955377" w:rsidP="00955377">
      <w:pPr>
        <w:pStyle w:val="ListParagraph"/>
        <w:ind w:left="0"/>
      </w:pPr>
      <w:r>
        <w:t>Others on the Met e-mail list</w:t>
      </w:r>
    </w:p>
    <w:p w14:paraId="684CA44F" w14:textId="738867A5" w:rsidR="00955377" w:rsidRDefault="00955377" w:rsidP="00955377">
      <w:pPr>
        <w:pStyle w:val="ListParagraph"/>
        <w:ind w:left="0"/>
      </w:pPr>
      <w:r>
        <w:t>-</w:t>
      </w:r>
      <w:r>
        <w:tab/>
        <w:t>David Smith</w:t>
      </w:r>
    </w:p>
    <w:p w14:paraId="3C5A5E58" w14:textId="77777777" w:rsidR="00213BAB" w:rsidRPr="00213BAB" w:rsidRDefault="00213BAB" w:rsidP="00260279">
      <w:pPr>
        <w:pStyle w:val="ListParagraph"/>
        <w:ind w:left="0"/>
      </w:pPr>
    </w:p>
    <w:p w14:paraId="08F921C6" w14:textId="77777777" w:rsidR="00213BAB" w:rsidRDefault="00213BAB" w:rsidP="00260279">
      <w:pPr>
        <w:rPr>
          <w:b/>
        </w:rPr>
      </w:pPr>
      <w:r>
        <w:rPr>
          <w:b/>
        </w:rPr>
        <w:br w:type="page"/>
      </w:r>
    </w:p>
    <w:p w14:paraId="15B151E3" w14:textId="715C1E24" w:rsidR="006435CF" w:rsidRPr="00BD2237" w:rsidRDefault="008E148B" w:rsidP="00260279">
      <w:pPr>
        <w:rPr>
          <w:b/>
        </w:rPr>
      </w:pPr>
      <w:r>
        <w:rPr>
          <w:b/>
        </w:rPr>
        <w:lastRenderedPageBreak/>
        <w:t>Appendix B</w:t>
      </w:r>
      <w:r w:rsidR="006435CF">
        <w:rPr>
          <w:b/>
        </w:rPr>
        <w:t>.</w:t>
      </w:r>
      <w:r w:rsidR="006435CF">
        <w:rPr>
          <w:b/>
        </w:rPr>
        <w:tab/>
      </w:r>
      <w:proofErr w:type="spellStart"/>
      <w:r w:rsidR="006435CF" w:rsidRPr="00BD2237">
        <w:rPr>
          <w:b/>
        </w:rPr>
        <w:t>Phenocam</w:t>
      </w:r>
      <w:proofErr w:type="spellEnd"/>
      <w:r w:rsidR="006435CF" w:rsidRPr="00BD2237">
        <w:rPr>
          <w:b/>
        </w:rPr>
        <w:t xml:space="preserve"> Sensors for LTAR Tower Instrumentation</w:t>
      </w:r>
    </w:p>
    <w:p w14:paraId="4E9F4097" w14:textId="77777777" w:rsidR="006435CF" w:rsidRDefault="006435CF" w:rsidP="00260279"/>
    <w:p w14:paraId="4E7DB380" w14:textId="77777777" w:rsidR="006435CF" w:rsidRDefault="006435CF" w:rsidP="00260279">
      <w:pPr>
        <w:jc w:val="center"/>
      </w:pPr>
      <w:r>
        <w:t>Developed by: Dawn Browning (USDA-ARS, Las Cruces, NM), and Guillermo Ponce (USDA-ARS, Tucson, AZ)</w:t>
      </w:r>
    </w:p>
    <w:p w14:paraId="475C1CC0" w14:textId="77777777" w:rsidR="006435CF" w:rsidRDefault="006435CF" w:rsidP="00260279"/>
    <w:p w14:paraId="33C7D721" w14:textId="2F93CE2C" w:rsidR="006435CF" w:rsidRDefault="006435CF" w:rsidP="00260279">
      <w:r>
        <w:t xml:space="preserve">The cost per </w:t>
      </w:r>
      <w:proofErr w:type="gramStart"/>
      <w:r>
        <w:t xml:space="preserve">unit which includes the five Megapixel color-infrared camera, 6.2mm lens, and outdoor </w:t>
      </w:r>
      <w:proofErr w:type="spellStart"/>
      <w:r>
        <w:t>exclosure</w:t>
      </w:r>
      <w:proofErr w:type="spellEnd"/>
      <w:proofErr w:type="gramEnd"/>
      <w:r>
        <w:t xml:space="preserve"> is $950.00 (quote </w:t>
      </w:r>
      <w:r w:rsidR="007F2060">
        <w:t>from 6/18/2014 copied below)</w:t>
      </w:r>
      <w:r>
        <w:t xml:space="preserve">. One camera for each treatment (aspirational, “business as usual” agriculture) is recommended. </w:t>
      </w:r>
      <w:r w:rsidR="007F2060">
        <w:t xml:space="preserve">For the near term one of the cameras should be placed at the LTAR Met station if the Flex towers are not yet operational. </w:t>
      </w:r>
      <w:r>
        <w:t xml:space="preserve">This is based on the assumption that there would be a flux tower in each treatment area. Telemetry or cell connectivity via the flux tower and costs associated with data transmission are not included in the $950.00/camera quote). </w:t>
      </w:r>
    </w:p>
    <w:p w14:paraId="1494DD9D" w14:textId="77777777" w:rsidR="006435CF" w:rsidRDefault="006435CF" w:rsidP="00260279"/>
    <w:p w14:paraId="2E069499" w14:textId="77777777" w:rsidR="006435CF" w:rsidRDefault="006435CF" w:rsidP="00260279">
      <w:r>
        <w:t xml:space="preserve">The cameras are web-enabled, providing remote access to visualize the greenness patterns in real time as well as to transmit images to an FTP server at the University of New Hampshire as part of the National </w:t>
      </w:r>
      <w:proofErr w:type="spellStart"/>
      <w:r>
        <w:t>Phenocam</w:t>
      </w:r>
      <w:proofErr w:type="spellEnd"/>
      <w:r>
        <w:t xml:space="preserve"> Network (</w:t>
      </w:r>
      <w:r w:rsidRPr="00EB13EA">
        <w:t>http://phenocam.sr.unh.edu/webcam/</w:t>
      </w:r>
      <w:r>
        <w:t xml:space="preserve">). The data are archived there and available for download.  The frequently asked questions (FAQ) page of the National </w:t>
      </w:r>
      <w:proofErr w:type="spellStart"/>
      <w:r>
        <w:t>Phenocam</w:t>
      </w:r>
      <w:proofErr w:type="spellEnd"/>
      <w:r>
        <w:t xml:space="preserve"> Network (</w:t>
      </w:r>
      <w:hyperlink r:id="rId32" w:history="1">
        <w:r w:rsidRPr="001D00AB">
          <w:rPr>
            <w:rStyle w:val="Hyperlink"/>
          </w:rPr>
          <w:t>http://phenocam.sr.unh.edu/webcam/faq/</w:t>
        </w:r>
      </w:hyperlink>
      <w:r>
        <w:t xml:space="preserve">) provides a wealth of additional information for installation and operation of </w:t>
      </w:r>
      <w:proofErr w:type="spellStart"/>
      <w:r>
        <w:t>phenocams</w:t>
      </w:r>
      <w:proofErr w:type="spellEnd"/>
      <w:r>
        <w:t xml:space="preserve">.  Installation instructions are contained in the file: Phenocam_Install_Instructions.pdf. </w:t>
      </w:r>
    </w:p>
    <w:p w14:paraId="4D7F6CC6" w14:textId="77777777" w:rsidR="006435CF" w:rsidRDefault="006435CF" w:rsidP="00260279"/>
    <w:p w14:paraId="2C7CD4CD" w14:textId="77777777" w:rsidR="006435CF" w:rsidRDefault="006435CF" w:rsidP="00260279">
      <w:pPr>
        <w:rPr>
          <w:color w:val="000000"/>
        </w:rPr>
      </w:pPr>
      <w:r>
        <w:rPr>
          <w:color w:val="000000"/>
        </w:rPr>
        <w:t xml:space="preserve">Once the cameras are installed, data maintenance needs for the </w:t>
      </w:r>
      <w:proofErr w:type="spellStart"/>
      <w:r>
        <w:rPr>
          <w:color w:val="000000"/>
        </w:rPr>
        <w:t>phenocam</w:t>
      </w:r>
      <w:proofErr w:type="spellEnd"/>
      <w:r>
        <w:rPr>
          <w:color w:val="000000"/>
        </w:rPr>
        <w:t xml:space="preserve"> images are minimal. They are archived as part of the </w:t>
      </w:r>
      <w:proofErr w:type="spellStart"/>
      <w:r>
        <w:rPr>
          <w:color w:val="000000"/>
        </w:rPr>
        <w:t>Phenocam</w:t>
      </w:r>
      <w:proofErr w:type="spellEnd"/>
      <w:r>
        <w:rPr>
          <w:color w:val="000000"/>
        </w:rPr>
        <w:t xml:space="preserve"> Network; both raw images and greenness values are available for download. Based on experience at the </w:t>
      </w:r>
      <w:proofErr w:type="spellStart"/>
      <w:r>
        <w:rPr>
          <w:color w:val="000000"/>
        </w:rPr>
        <w:t>Jornada</w:t>
      </w:r>
      <w:proofErr w:type="spellEnd"/>
      <w:r>
        <w:rPr>
          <w:color w:val="000000"/>
        </w:rPr>
        <w:t xml:space="preserve"> Experimental Range, it has been one of the easiest data streams to use and manage. We have occasionally received notices from someone at the </w:t>
      </w:r>
      <w:proofErr w:type="spellStart"/>
      <w:r>
        <w:rPr>
          <w:color w:val="000000"/>
        </w:rPr>
        <w:t>Phenocam</w:t>
      </w:r>
      <w:proofErr w:type="spellEnd"/>
      <w:r>
        <w:rPr>
          <w:color w:val="000000"/>
        </w:rPr>
        <w:t xml:space="preserve"> Network that no images had been received for a few days; each time, a Biological Science Technician solved the problem with our solar panel array. </w:t>
      </w:r>
    </w:p>
    <w:p w14:paraId="4BFC9364" w14:textId="77777777" w:rsidR="006435CF" w:rsidRDefault="006435CF" w:rsidP="00260279">
      <w:pPr>
        <w:rPr>
          <w:color w:val="000000"/>
        </w:rPr>
      </w:pPr>
    </w:p>
    <w:p w14:paraId="33AF31C7" w14:textId="77777777" w:rsidR="006435CF" w:rsidRPr="00FF0A1C" w:rsidRDefault="006435CF" w:rsidP="00260279">
      <w:pPr>
        <w:rPr>
          <w:color w:val="000000"/>
        </w:rPr>
      </w:pPr>
      <w:r>
        <w:rPr>
          <w:color w:val="000000"/>
        </w:rPr>
        <w:t xml:space="preserve">1) </w:t>
      </w:r>
      <w:r w:rsidRPr="00FF0A1C">
        <w:rPr>
          <w:color w:val="000000"/>
        </w:rPr>
        <w:t>Level of expertise required (e.g. Tech., support scientist, post-doc, scientist) to operate, maintain, collect data, QC data, and analyze the data to useful products</w:t>
      </w:r>
      <w:r>
        <w:rPr>
          <w:color w:val="000000"/>
        </w:rPr>
        <w:t>. A t</w:t>
      </w:r>
      <w:r w:rsidRPr="00AD5645">
        <w:rPr>
          <w:i/>
          <w:color w:val="000000"/>
        </w:rPr>
        <w:t xml:space="preserve">echnician </w:t>
      </w:r>
      <w:r>
        <w:rPr>
          <w:i/>
          <w:color w:val="000000"/>
        </w:rPr>
        <w:t xml:space="preserve">can </w:t>
      </w:r>
      <w:r w:rsidRPr="00AD5645">
        <w:rPr>
          <w:i/>
          <w:color w:val="000000"/>
        </w:rPr>
        <w:t>trouble-shoot occasional problems with power or camera configuration.</w:t>
      </w:r>
    </w:p>
    <w:p w14:paraId="63157FF3" w14:textId="77777777" w:rsidR="006435CF" w:rsidRDefault="006435CF" w:rsidP="00260279">
      <w:pPr>
        <w:rPr>
          <w:color w:val="000000"/>
        </w:rPr>
      </w:pPr>
    </w:p>
    <w:p w14:paraId="4ADA7341" w14:textId="77777777" w:rsidR="006435CF" w:rsidRDefault="006435CF" w:rsidP="00260279">
      <w:pPr>
        <w:rPr>
          <w:color w:val="000000"/>
        </w:rPr>
      </w:pPr>
      <w:r>
        <w:rPr>
          <w:color w:val="000000"/>
        </w:rPr>
        <w:t xml:space="preserve">2) </w:t>
      </w:r>
      <w:r w:rsidRPr="00FF0A1C">
        <w:rPr>
          <w:color w:val="000000"/>
        </w:rPr>
        <w:t>Estimate of the amount of time (person-years) of persons with the appropriate expertise to operate, maintain, collect data, QC data, document the data, and archive the data (assume that some database structure and data entry procedures will be developed)</w:t>
      </w:r>
      <w:r>
        <w:rPr>
          <w:color w:val="000000"/>
        </w:rPr>
        <w:t>.</w:t>
      </w:r>
    </w:p>
    <w:p w14:paraId="3984669F" w14:textId="77777777" w:rsidR="006435CF" w:rsidRPr="00AD5645" w:rsidRDefault="006435CF" w:rsidP="00260279">
      <w:pPr>
        <w:rPr>
          <w:i/>
          <w:color w:val="000000"/>
        </w:rPr>
      </w:pPr>
      <w:r w:rsidRPr="00AD5645">
        <w:rPr>
          <w:i/>
          <w:color w:val="000000"/>
        </w:rPr>
        <w:t xml:space="preserve">This time is minimal because of support provided by the National </w:t>
      </w:r>
      <w:proofErr w:type="spellStart"/>
      <w:r w:rsidRPr="00AD5645">
        <w:rPr>
          <w:i/>
          <w:color w:val="000000"/>
        </w:rPr>
        <w:t>Phenocam</w:t>
      </w:r>
      <w:proofErr w:type="spellEnd"/>
      <w:r w:rsidRPr="00AD5645">
        <w:rPr>
          <w:i/>
          <w:color w:val="000000"/>
        </w:rPr>
        <w:t xml:space="preserve"> Network. I would estimate 1.5 days every two months (9 days/year = 0.04 person/year).</w:t>
      </w:r>
    </w:p>
    <w:p w14:paraId="2761ABB8" w14:textId="77777777" w:rsidR="006435CF" w:rsidRDefault="006435CF" w:rsidP="00260279">
      <w:pPr>
        <w:rPr>
          <w:color w:val="000000"/>
        </w:rPr>
      </w:pPr>
    </w:p>
    <w:p w14:paraId="69057008" w14:textId="77777777" w:rsidR="006435CF" w:rsidRDefault="006435CF" w:rsidP="00260279">
      <w:pPr>
        <w:rPr>
          <w:color w:val="000000"/>
        </w:rPr>
      </w:pPr>
      <w:r>
        <w:rPr>
          <w:color w:val="000000"/>
        </w:rPr>
        <w:t xml:space="preserve">3) </w:t>
      </w:r>
      <w:r w:rsidRPr="00FF0A1C">
        <w:rPr>
          <w:color w:val="000000"/>
        </w:rPr>
        <w:t>What auxiliary equipment (</w:t>
      </w:r>
      <w:proofErr w:type="gramStart"/>
      <w:r w:rsidRPr="00FF0A1C">
        <w:rPr>
          <w:color w:val="000000"/>
        </w:rPr>
        <w:t>not-field</w:t>
      </w:r>
      <w:proofErr w:type="gramEnd"/>
      <w:r w:rsidRPr="00FF0A1C">
        <w:rPr>
          <w:color w:val="000000"/>
        </w:rPr>
        <w:t xml:space="preserve"> deployed) is required to provide high-quality data products (e.g. calibration equipment, a gas </w:t>
      </w:r>
      <w:proofErr w:type="spellStart"/>
      <w:r w:rsidRPr="00FF0A1C">
        <w:rPr>
          <w:color w:val="000000"/>
        </w:rPr>
        <w:t>chromato</w:t>
      </w:r>
      <w:proofErr w:type="spellEnd"/>
      <w:r w:rsidRPr="00FF0A1C">
        <w:rPr>
          <w:color w:val="000000"/>
        </w:rPr>
        <w:t>-graph to analyze non-automated chamber based measurements, etc.)</w:t>
      </w:r>
      <w:r>
        <w:rPr>
          <w:color w:val="000000"/>
        </w:rPr>
        <w:t>.</w:t>
      </w:r>
    </w:p>
    <w:p w14:paraId="10A7D9F8" w14:textId="77777777" w:rsidR="006435CF" w:rsidRPr="00AD5645" w:rsidRDefault="006435CF" w:rsidP="00260279">
      <w:pPr>
        <w:rPr>
          <w:i/>
          <w:color w:val="000000"/>
        </w:rPr>
      </w:pPr>
      <w:r w:rsidRPr="00AD5645">
        <w:rPr>
          <w:i/>
          <w:color w:val="000000"/>
        </w:rPr>
        <w:t>Not applicable.</w:t>
      </w:r>
      <w:r>
        <w:rPr>
          <w:i/>
          <w:color w:val="000000"/>
        </w:rPr>
        <w:t xml:space="preserve"> There is no good calibration protocol for the </w:t>
      </w:r>
      <w:proofErr w:type="spellStart"/>
      <w:r>
        <w:rPr>
          <w:i/>
          <w:color w:val="000000"/>
        </w:rPr>
        <w:t>phenocams</w:t>
      </w:r>
      <w:proofErr w:type="spellEnd"/>
      <w:r>
        <w:rPr>
          <w:i/>
          <w:color w:val="000000"/>
        </w:rPr>
        <w:t xml:space="preserve">. Even if one were to mount a white panel in the field of view, there are no established protocols for adjusting the digital numbers in the image. The primary data </w:t>
      </w:r>
      <w:proofErr w:type="gramStart"/>
      <w:r>
        <w:rPr>
          <w:i/>
          <w:color w:val="000000"/>
        </w:rPr>
        <w:t xml:space="preserve">product from the </w:t>
      </w:r>
      <w:proofErr w:type="spellStart"/>
      <w:r>
        <w:rPr>
          <w:i/>
          <w:color w:val="000000"/>
        </w:rPr>
        <w:t>phenocam</w:t>
      </w:r>
      <w:proofErr w:type="spellEnd"/>
      <w:r>
        <w:rPr>
          <w:i/>
          <w:color w:val="000000"/>
        </w:rPr>
        <w:t xml:space="preserve"> images are</w:t>
      </w:r>
      <w:proofErr w:type="gramEnd"/>
      <w:r>
        <w:rPr>
          <w:i/>
          <w:color w:val="000000"/>
        </w:rPr>
        <w:t xml:space="preserve"> estimates of greenness that are processed (using tools provided by the National </w:t>
      </w:r>
      <w:proofErr w:type="spellStart"/>
      <w:r>
        <w:rPr>
          <w:i/>
          <w:color w:val="000000"/>
        </w:rPr>
        <w:t>Phenocam</w:t>
      </w:r>
      <w:proofErr w:type="spellEnd"/>
      <w:r>
        <w:rPr>
          <w:i/>
          <w:color w:val="000000"/>
        </w:rPr>
        <w:t xml:space="preserve"> Network) robustly to characterize patterns of primary productivity.</w:t>
      </w:r>
    </w:p>
    <w:p w14:paraId="1261CAA0" w14:textId="77777777" w:rsidR="006435CF" w:rsidRDefault="006435CF" w:rsidP="00260279">
      <w:pPr>
        <w:rPr>
          <w:color w:val="000000"/>
        </w:rPr>
      </w:pPr>
    </w:p>
    <w:p w14:paraId="4CA71332" w14:textId="77777777" w:rsidR="006435CF" w:rsidRDefault="006435CF" w:rsidP="00260279">
      <w:pPr>
        <w:rPr>
          <w:color w:val="000000"/>
        </w:rPr>
      </w:pPr>
      <w:r>
        <w:rPr>
          <w:color w:val="000000"/>
        </w:rPr>
        <w:t xml:space="preserve">4) </w:t>
      </w:r>
      <w:r w:rsidRPr="00FF0A1C">
        <w:rPr>
          <w:color w:val="000000"/>
        </w:rPr>
        <w:t>An estimate of the maintenance and calibration frequency</w:t>
      </w:r>
      <w:r>
        <w:rPr>
          <w:color w:val="000000"/>
        </w:rPr>
        <w:t>.</w:t>
      </w:r>
    </w:p>
    <w:p w14:paraId="40985269" w14:textId="77777777" w:rsidR="006435CF" w:rsidRPr="00D81474" w:rsidRDefault="006435CF" w:rsidP="00260279">
      <w:pPr>
        <w:rPr>
          <w:i/>
          <w:color w:val="000000"/>
        </w:rPr>
      </w:pPr>
      <w:r w:rsidRPr="00D81474">
        <w:rPr>
          <w:i/>
          <w:color w:val="000000"/>
        </w:rPr>
        <w:t>Not applicable. See above.</w:t>
      </w:r>
    </w:p>
    <w:p w14:paraId="2E9E598B" w14:textId="77777777" w:rsidR="006435CF" w:rsidRDefault="006435CF" w:rsidP="00260279">
      <w:pPr>
        <w:rPr>
          <w:color w:val="000000"/>
        </w:rPr>
      </w:pPr>
    </w:p>
    <w:p w14:paraId="0BDDE358" w14:textId="77777777" w:rsidR="006435CF" w:rsidRDefault="006435CF" w:rsidP="00260279">
      <w:pPr>
        <w:rPr>
          <w:color w:val="000000"/>
        </w:rPr>
      </w:pPr>
      <w:r>
        <w:rPr>
          <w:color w:val="000000"/>
        </w:rPr>
        <w:t xml:space="preserve">5) </w:t>
      </w:r>
      <w:r w:rsidRPr="00FF0A1C">
        <w:rPr>
          <w:color w:val="000000"/>
        </w:rPr>
        <w:t>An estimate of the useful life of the instruments – replacement schedule</w:t>
      </w:r>
      <w:r>
        <w:rPr>
          <w:color w:val="000000"/>
        </w:rPr>
        <w:t xml:space="preserve">. </w:t>
      </w:r>
      <w:proofErr w:type="gramStart"/>
      <w:r>
        <w:rPr>
          <w:color w:val="000000"/>
        </w:rPr>
        <w:t>A reasonable estimate of the number of spare instruments that should be purchased and available to minimize gaps in observation continuity.</w:t>
      </w:r>
      <w:proofErr w:type="gramEnd"/>
    </w:p>
    <w:p w14:paraId="5A676323" w14:textId="2824516D" w:rsidR="007F2060" w:rsidRDefault="006435CF" w:rsidP="00260279">
      <w:pPr>
        <w:rPr>
          <w:i/>
          <w:color w:val="000000"/>
        </w:rPr>
      </w:pPr>
      <w:r w:rsidRPr="00D81474">
        <w:rPr>
          <w:i/>
          <w:color w:val="000000"/>
        </w:rPr>
        <w:t xml:space="preserve">We have had our cameras up for two years and others as part of the National </w:t>
      </w:r>
      <w:proofErr w:type="spellStart"/>
      <w:r w:rsidRPr="00D81474">
        <w:rPr>
          <w:i/>
          <w:color w:val="000000"/>
        </w:rPr>
        <w:t>Phenocam</w:t>
      </w:r>
      <w:proofErr w:type="spellEnd"/>
      <w:r w:rsidRPr="00D81474">
        <w:rPr>
          <w:i/>
          <w:color w:val="000000"/>
        </w:rPr>
        <w:t xml:space="preserve"> Network have been operational since 4/4/2008. A reasonable and conservative expectation is that the cameras would operate for </w:t>
      </w:r>
      <w:r>
        <w:rPr>
          <w:i/>
          <w:color w:val="000000"/>
        </w:rPr>
        <w:t xml:space="preserve">at least </w:t>
      </w:r>
      <w:r w:rsidRPr="00D81474">
        <w:rPr>
          <w:i/>
          <w:color w:val="000000"/>
        </w:rPr>
        <w:t xml:space="preserve">six years. </w:t>
      </w:r>
    </w:p>
    <w:p w14:paraId="14549240" w14:textId="77777777" w:rsidR="007F2060" w:rsidRDefault="007F2060">
      <w:pPr>
        <w:rPr>
          <w:i/>
          <w:color w:val="000000"/>
        </w:rPr>
      </w:pPr>
      <w:r>
        <w:rPr>
          <w:i/>
          <w:color w:val="000000"/>
        </w:rPr>
        <w:br w:type="page"/>
      </w:r>
    </w:p>
    <w:p w14:paraId="511B8759" w14:textId="6A3E622A" w:rsidR="006435CF" w:rsidRPr="007F2060" w:rsidRDefault="007F2060" w:rsidP="00260279">
      <w:pPr>
        <w:rPr>
          <w:color w:val="000000"/>
        </w:rPr>
      </w:pPr>
      <w:r>
        <w:rPr>
          <w:noProof/>
          <w:color w:val="000000"/>
        </w:rPr>
        <w:lastRenderedPageBreak/>
        <w:drawing>
          <wp:inline distT="0" distB="0" distL="0" distR="0" wp14:anchorId="5D35E9C8" wp14:editId="70B7F238">
            <wp:extent cx="5772150" cy="596816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2150" cy="5968166"/>
                    </a:xfrm>
                    <a:prstGeom prst="rect">
                      <a:avLst/>
                    </a:prstGeom>
                    <a:noFill/>
                    <a:ln>
                      <a:noFill/>
                    </a:ln>
                  </pic:spPr>
                </pic:pic>
              </a:graphicData>
            </a:graphic>
          </wp:inline>
        </w:drawing>
      </w:r>
    </w:p>
    <w:p w14:paraId="4B530A15" w14:textId="77777777" w:rsidR="006435CF" w:rsidRDefault="006435CF" w:rsidP="00260279"/>
    <w:p w14:paraId="4BB6B5B3" w14:textId="77777777" w:rsidR="006435CF" w:rsidRDefault="006435CF" w:rsidP="00260279"/>
    <w:p w14:paraId="01A42485" w14:textId="1C442A8D" w:rsidR="00FC2749" w:rsidRDefault="00FC2749">
      <w:pPr>
        <w:rPr>
          <w:rFonts w:ascii="Times New Roman" w:eastAsiaTheme="minorHAnsi" w:hAnsi="Times New Roman" w:cs="Times New Roman"/>
          <w:sz w:val="22"/>
          <w:szCs w:val="22"/>
          <w:lang w:val="en-AU"/>
        </w:rPr>
      </w:pPr>
      <w:r>
        <w:rPr>
          <w:rFonts w:ascii="Times New Roman" w:eastAsiaTheme="minorHAnsi" w:hAnsi="Times New Roman" w:cs="Times New Roman"/>
          <w:sz w:val="22"/>
          <w:szCs w:val="22"/>
          <w:lang w:val="en-AU"/>
        </w:rPr>
        <w:br w:type="page"/>
      </w:r>
    </w:p>
    <w:p w14:paraId="24B4FDAB" w14:textId="77777777" w:rsidR="00E040F6" w:rsidRPr="002A6345" w:rsidRDefault="00E040F6" w:rsidP="00E040F6">
      <w:pPr>
        <w:widowControl w:val="0"/>
        <w:autoSpaceDE w:val="0"/>
        <w:autoSpaceDN w:val="0"/>
        <w:adjustRightInd w:val="0"/>
        <w:rPr>
          <w:rFonts w:cs="Calibri"/>
          <w:b/>
          <w:iCs/>
        </w:rPr>
      </w:pPr>
      <w:r>
        <w:rPr>
          <w:b/>
        </w:rPr>
        <w:lastRenderedPageBreak/>
        <w:t>Appendix C.</w:t>
      </w:r>
      <w:r>
        <w:rPr>
          <w:b/>
        </w:rPr>
        <w:tab/>
        <w:t>Sampling and Reporting Guidelines</w:t>
      </w:r>
    </w:p>
    <w:p w14:paraId="18A8F468" w14:textId="77777777" w:rsidR="00E040F6" w:rsidRDefault="00E040F6" w:rsidP="00FC2749"/>
    <w:p w14:paraId="5A8413C1" w14:textId="07DD2BD8" w:rsidR="00FC2749" w:rsidRDefault="00FC2749" w:rsidP="00FC2749">
      <w:r>
        <w:t xml:space="preserve">Source: </w:t>
      </w:r>
      <w:r w:rsidRPr="003C0BDD">
        <w:t>Commission for Instruments and Methods of Observations (</w:t>
      </w:r>
      <w:r w:rsidRPr="003C0BDD">
        <w:rPr>
          <w:i/>
          <w:iCs/>
        </w:rPr>
        <w:t>CIMO</w:t>
      </w:r>
      <w:r w:rsidRPr="003C0BDD">
        <w:t xml:space="preserve">) </w:t>
      </w:r>
      <w:r>
        <w:t>“</w:t>
      </w:r>
      <w:r w:rsidRPr="003C0BDD">
        <w:t>Guide To Meteorological Instruments And Methods Of Observation (WMO-No. 8)</w:t>
      </w:r>
      <w:r>
        <w:t xml:space="preserve">” </w:t>
      </w:r>
      <w:hyperlink r:id="rId34" w:history="1">
        <w:r w:rsidRPr="00AB3B4A">
          <w:rPr>
            <w:rStyle w:val="Hyperlink"/>
          </w:rPr>
          <w:t>https://www.wmo.int/pages/prog/www/IMOP/CIMO-Guide.html</w:t>
        </w:r>
      </w:hyperlink>
      <w:r>
        <w:t xml:space="preserve"> (See Chapter 1 - </w:t>
      </w:r>
      <w:r w:rsidRPr="00932E3A">
        <w:t>Measurements At Automatic Weather Stations</w:t>
      </w:r>
      <w:r w:rsidR="009A731C">
        <w:t xml:space="preserve">: Pages II.1 – 11 to II.1 – 12; </w:t>
      </w:r>
      <w:proofErr w:type="gramStart"/>
      <w:r w:rsidR="009A731C">
        <w:t>Also</w:t>
      </w:r>
      <w:proofErr w:type="gramEnd"/>
      <w:r w:rsidR="009A731C">
        <w:t xml:space="preserve"> see Part III – Chapter 2 – Sampling Meteorological Variables)</w:t>
      </w:r>
    </w:p>
    <w:p w14:paraId="17F6ACCE" w14:textId="77777777" w:rsidR="00FC2749" w:rsidRDefault="00FC2749" w:rsidP="00FC2749"/>
    <w:p w14:paraId="6D501E92" w14:textId="77777777" w:rsidR="00FC2749" w:rsidRPr="00932E3A" w:rsidRDefault="00FC2749" w:rsidP="00FC2749">
      <w:pPr>
        <w:rPr>
          <w:b/>
        </w:rPr>
      </w:pPr>
      <w:r w:rsidRPr="00932E3A">
        <w:rPr>
          <w:b/>
        </w:rPr>
        <w:t>1.3.2.2 Sampling and filtering</w:t>
      </w:r>
    </w:p>
    <w:p w14:paraId="35B1A8AC" w14:textId="77777777" w:rsidR="00FC2749" w:rsidRDefault="00FC2749" w:rsidP="00FC2749"/>
    <w:p w14:paraId="7BA09C08" w14:textId="77777777" w:rsidR="00FC2749" w:rsidRDefault="00FC2749" w:rsidP="00FC2749">
      <w:r w:rsidRPr="00932E3A">
        <w:t>Sampling can be defined as the process of obtaining</w:t>
      </w:r>
      <w:r>
        <w:t xml:space="preserve"> </w:t>
      </w:r>
      <w:r w:rsidRPr="00932E3A">
        <w:t>a well</w:t>
      </w:r>
      <w:r w:rsidRPr="00932E3A">
        <w:rPr>
          <w:rFonts w:ascii="Palatino" w:hAnsi="Palatino" w:cs="Palatino"/>
        </w:rPr>
        <w:t>‑</w:t>
      </w:r>
      <w:r w:rsidRPr="00932E3A">
        <w:t>spaced sequence of measurements of a</w:t>
      </w:r>
      <w:r>
        <w:t xml:space="preserve"> </w:t>
      </w:r>
      <w:r w:rsidRPr="00932E3A">
        <w:t>variable. To digitally process meteorological sensor</w:t>
      </w:r>
      <w:r>
        <w:t xml:space="preserve"> </w:t>
      </w:r>
      <w:r w:rsidRPr="00932E3A">
        <w:t>signals, the question arises of how often the sensor</w:t>
      </w:r>
      <w:r>
        <w:t xml:space="preserve"> </w:t>
      </w:r>
      <w:r w:rsidRPr="00932E3A">
        <w:t>outputs should be sampled. It is important to</w:t>
      </w:r>
      <w:r>
        <w:t xml:space="preserve"> </w:t>
      </w:r>
      <w:r w:rsidRPr="00932E3A">
        <w:t>ensure that the sequence of samples adequately</w:t>
      </w:r>
      <w:r>
        <w:t xml:space="preserve"> r</w:t>
      </w:r>
      <w:r w:rsidRPr="00932E3A">
        <w:t>epresents significant changes in the atmospheric</w:t>
      </w:r>
      <w:r>
        <w:t xml:space="preserve"> </w:t>
      </w:r>
      <w:r w:rsidRPr="00932E3A">
        <w:t>variable being measured. A generally accepted rule</w:t>
      </w:r>
      <w:r>
        <w:t xml:space="preserve"> </w:t>
      </w:r>
      <w:r w:rsidRPr="00932E3A">
        <w:t>of thumb is to sample at least once during the</w:t>
      </w:r>
      <w:r>
        <w:t xml:space="preserve"> </w:t>
      </w:r>
      <w:r w:rsidRPr="00932E3A">
        <w:t>time-constant of the sensor. However, as some</w:t>
      </w:r>
      <w:r>
        <w:t xml:space="preserve"> </w:t>
      </w:r>
      <w:r w:rsidRPr="00932E3A">
        <w:t>meteorological variables have high frequency</w:t>
      </w:r>
      <w:r>
        <w:t xml:space="preserve"> </w:t>
      </w:r>
      <w:r w:rsidRPr="00932E3A">
        <w:t>components, proper filtering or smoothing should</w:t>
      </w:r>
      <w:r>
        <w:t xml:space="preserve"> </w:t>
      </w:r>
      <w:r w:rsidRPr="00932E3A">
        <w:t>be accomplished first by selecting sensors with a</w:t>
      </w:r>
      <w:r>
        <w:t xml:space="preserve"> </w:t>
      </w:r>
      <w:r w:rsidRPr="00932E3A">
        <w:t>suitable time-constant or by filtering and smoothing</w:t>
      </w:r>
      <w:r>
        <w:t xml:space="preserve"> </w:t>
      </w:r>
      <w:r w:rsidRPr="00932E3A">
        <w:t>techniques in the signal-conditioning modules</w:t>
      </w:r>
      <w:r>
        <w:t xml:space="preserve"> </w:t>
      </w:r>
      <w:r w:rsidRPr="00932E3A">
        <w:t>(see Part III, Chapter 2).</w:t>
      </w:r>
    </w:p>
    <w:p w14:paraId="5B8EDF08" w14:textId="77777777" w:rsidR="00FC2749" w:rsidRDefault="00FC2749" w:rsidP="00FC2749"/>
    <w:p w14:paraId="130F2720" w14:textId="77777777" w:rsidR="00FC2749" w:rsidRPr="00932E3A" w:rsidRDefault="00FC2749" w:rsidP="00FC2749">
      <w:r w:rsidRPr="00932E3A">
        <w:t>Considering the need for the interchangeability of</w:t>
      </w:r>
      <w:r>
        <w:t xml:space="preserve"> </w:t>
      </w:r>
      <w:r w:rsidRPr="00932E3A">
        <w:t>sensors and homogeneity of observed data, it is</w:t>
      </w:r>
      <w:r>
        <w:t xml:space="preserve"> </w:t>
      </w:r>
      <w:r w:rsidRPr="00932E3A">
        <w:t>recommended:</w:t>
      </w:r>
    </w:p>
    <w:p w14:paraId="475CBBB5" w14:textId="77777777" w:rsidR="00FC2749" w:rsidRPr="00932E3A" w:rsidRDefault="00FC2749" w:rsidP="00FC2749">
      <w:pPr>
        <w:ind w:left="630" w:hanging="360"/>
      </w:pPr>
      <w:r w:rsidRPr="00932E3A">
        <w:t>(a) That samples taken to compute averages</w:t>
      </w:r>
      <w:r>
        <w:t xml:space="preserve"> </w:t>
      </w:r>
      <w:r w:rsidRPr="00932E3A">
        <w:t>should be obtained at equally spaced time</w:t>
      </w:r>
      <w:r>
        <w:t xml:space="preserve"> </w:t>
      </w:r>
      <w:r w:rsidRPr="00932E3A">
        <w:t>intervals which:</w:t>
      </w:r>
    </w:p>
    <w:p w14:paraId="4B99FABA" w14:textId="77777777" w:rsidR="00FC2749" w:rsidRPr="00932E3A" w:rsidRDefault="00FC2749" w:rsidP="00FC2749">
      <w:pPr>
        <w:ind w:left="1080" w:hanging="450"/>
      </w:pPr>
      <w:r w:rsidRPr="00932E3A">
        <w:t>(</w:t>
      </w:r>
      <w:proofErr w:type="spellStart"/>
      <w:r w:rsidRPr="00932E3A">
        <w:t>i</w:t>
      </w:r>
      <w:proofErr w:type="spellEnd"/>
      <w:proofErr w:type="gramStart"/>
      <w:r w:rsidRPr="00932E3A">
        <w:t xml:space="preserve">) </w:t>
      </w:r>
      <w:r>
        <w:t xml:space="preserve">   </w:t>
      </w:r>
      <w:r w:rsidRPr="00932E3A">
        <w:t>Do</w:t>
      </w:r>
      <w:proofErr w:type="gramEnd"/>
      <w:r w:rsidRPr="00932E3A">
        <w:t xml:space="preserve"> not exceed the time-constant of the</w:t>
      </w:r>
      <w:r>
        <w:t xml:space="preserve"> </w:t>
      </w:r>
      <w:r w:rsidRPr="00932E3A">
        <w:t>sensor; or</w:t>
      </w:r>
    </w:p>
    <w:p w14:paraId="6D348197" w14:textId="77777777" w:rsidR="00FC2749" w:rsidRPr="00932E3A" w:rsidRDefault="00FC2749" w:rsidP="00FC2749">
      <w:pPr>
        <w:ind w:left="1080" w:hanging="450"/>
      </w:pPr>
      <w:r w:rsidRPr="00932E3A">
        <w:t>(ii</w:t>
      </w:r>
      <w:proofErr w:type="gramStart"/>
      <w:r w:rsidRPr="00932E3A">
        <w:t xml:space="preserve">) </w:t>
      </w:r>
      <w:r>
        <w:t xml:space="preserve">  </w:t>
      </w:r>
      <w:r w:rsidRPr="00932E3A">
        <w:t>Do</w:t>
      </w:r>
      <w:proofErr w:type="gramEnd"/>
      <w:r w:rsidRPr="00932E3A">
        <w:t xml:space="preserve"> not exceed the time-constant of</w:t>
      </w:r>
      <w:r>
        <w:t xml:space="preserve"> </w:t>
      </w:r>
      <w:r w:rsidRPr="00932E3A">
        <w:t>an analogue low-pass filter following</w:t>
      </w:r>
      <w:r>
        <w:t xml:space="preserve"> </w:t>
      </w:r>
      <w:r w:rsidRPr="00932E3A">
        <w:t>the linearized output of a fast response</w:t>
      </w:r>
      <w:r>
        <w:t xml:space="preserve"> </w:t>
      </w:r>
      <w:r w:rsidRPr="00932E3A">
        <w:t>sensor; or</w:t>
      </w:r>
    </w:p>
    <w:p w14:paraId="125C7DC3" w14:textId="77777777" w:rsidR="00FC2749" w:rsidRPr="00932E3A" w:rsidRDefault="00FC2749" w:rsidP="00FC2749">
      <w:pPr>
        <w:ind w:left="1080" w:hanging="450"/>
      </w:pPr>
      <w:r w:rsidRPr="00932E3A">
        <w:t>(iii) Are sufficient in number to ensure that</w:t>
      </w:r>
      <w:r>
        <w:t xml:space="preserve"> </w:t>
      </w:r>
      <w:r w:rsidRPr="00932E3A">
        <w:t>the uncertainty of the average of the</w:t>
      </w:r>
      <w:r>
        <w:t xml:space="preserve"> </w:t>
      </w:r>
      <w:r w:rsidRPr="00932E3A">
        <w:t>samples is reduced to an acceptable level,</w:t>
      </w:r>
      <w:r>
        <w:t xml:space="preserve"> </w:t>
      </w:r>
      <w:r w:rsidRPr="00932E3A">
        <w:t>for example, smaller than the required</w:t>
      </w:r>
      <w:r>
        <w:t xml:space="preserve"> </w:t>
      </w:r>
      <w:r w:rsidRPr="00932E3A">
        <w:t>accuracy of the average;</w:t>
      </w:r>
    </w:p>
    <w:p w14:paraId="015157B8" w14:textId="77777777" w:rsidR="00FC2749" w:rsidRPr="00932E3A" w:rsidRDefault="00FC2749" w:rsidP="00FC2749">
      <w:pPr>
        <w:ind w:left="630" w:hanging="360"/>
      </w:pPr>
      <w:r w:rsidRPr="00932E3A">
        <w:t>(b) That samples to be used in estimating extremes</w:t>
      </w:r>
      <w:r>
        <w:t xml:space="preserve"> </w:t>
      </w:r>
      <w:r w:rsidRPr="00932E3A">
        <w:t>of fluctuations should be taken at least four</w:t>
      </w:r>
      <w:r>
        <w:t xml:space="preserve"> </w:t>
      </w:r>
      <w:r w:rsidRPr="00932E3A">
        <w:t>times as often as specified in (</w:t>
      </w:r>
      <w:proofErr w:type="spellStart"/>
      <w:r w:rsidRPr="00932E3A">
        <w:t>i</w:t>
      </w:r>
      <w:proofErr w:type="spellEnd"/>
      <w:r w:rsidRPr="00932E3A">
        <w:t>) or (ii) above.</w:t>
      </w:r>
    </w:p>
    <w:p w14:paraId="289ED1F6" w14:textId="77777777" w:rsidR="00FC2749" w:rsidRDefault="00FC2749" w:rsidP="00FC2749"/>
    <w:p w14:paraId="6FE992F9" w14:textId="77777777" w:rsidR="00FC2749" w:rsidRPr="00932E3A" w:rsidRDefault="00FC2749" w:rsidP="00FC2749">
      <w:pPr>
        <w:rPr>
          <w:b/>
        </w:rPr>
      </w:pPr>
      <w:r w:rsidRPr="00932E3A">
        <w:rPr>
          <w:b/>
        </w:rPr>
        <w:t>1.3.2.3 Raw-data conversion</w:t>
      </w:r>
    </w:p>
    <w:p w14:paraId="6EB8402B" w14:textId="77777777" w:rsidR="00FC2749" w:rsidRPr="00932E3A" w:rsidRDefault="00FC2749" w:rsidP="00FC2749"/>
    <w:p w14:paraId="64AE28A5" w14:textId="77777777" w:rsidR="00E040F6" w:rsidRDefault="00FC2749" w:rsidP="00FC2749">
      <w:r w:rsidRPr="00932E3A">
        <w:t>The conversion of raw sensor data consists of the</w:t>
      </w:r>
      <w:r>
        <w:t xml:space="preserve"> </w:t>
      </w:r>
      <w:r w:rsidRPr="00932E3A">
        <w:t>transformation of the electrical output values of</w:t>
      </w:r>
      <w:r>
        <w:t xml:space="preserve"> </w:t>
      </w:r>
      <w:r w:rsidRPr="00932E3A">
        <w:t>sensors or signal-conditioning modules into meteorological</w:t>
      </w:r>
      <w:r>
        <w:t xml:space="preserve"> </w:t>
      </w:r>
      <w:r w:rsidRPr="00932E3A">
        <w:t>units. The process involves the application</w:t>
      </w:r>
      <w:r>
        <w:t xml:space="preserve"> </w:t>
      </w:r>
      <w:r w:rsidRPr="00932E3A">
        <w:t>of conv</w:t>
      </w:r>
      <w:r>
        <w:t xml:space="preserve">ersion algorithms making use of </w:t>
      </w:r>
      <w:r w:rsidRPr="00932E3A">
        <w:t>constants</w:t>
      </w:r>
      <w:r>
        <w:t xml:space="preserve"> </w:t>
      </w:r>
      <w:r w:rsidRPr="00932E3A">
        <w:t>and relations obtained during calibration</w:t>
      </w:r>
      <w:r>
        <w:t xml:space="preserve"> </w:t>
      </w:r>
      <w:r w:rsidRPr="00932E3A">
        <w:t>procedures.</w:t>
      </w:r>
      <w:r>
        <w:t xml:space="preserve"> </w:t>
      </w:r>
      <w:r w:rsidRPr="00932E3A">
        <w:t>An important consideration is that some sensors are</w:t>
      </w:r>
      <w:r>
        <w:t xml:space="preserve"> </w:t>
      </w:r>
      <w:r w:rsidRPr="00932E3A">
        <w:t>inherently non-linear, namely their outputs are not</w:t>
      </w:r>
      <w:r>
        <w:t xml:space="preserve"> </w:t>
      </w:r>
      <w:r w:rsidRPr="00932E3A">
        <w:t>directly proportional to the measured atmospheric</w:t>
      </w:r>
      <w:r>
        <w:t xml:space="preserve"> </w:t>
      </w:r>
      <w:r w:rsidRPr="00932E3A">
        <w:t>variables (for example, a resistance thermometer),</w:t>
      </w:r>
      <w:r>
        <w:t xml:space="preserve"> </w:t>
      </w:r>
      <w:r w:rsidRPr="00932E3A">
        <w:t>that some measurements are influenced by external</w:t>
      </w:r>
      <w:r>
        <w:t xml:space="preserve"> </w:t>
      </w:r>
      <w:r w:rsidRPr="00932E3A">
        <w:t>variables in a non-linear relation (for example, some</w:t>
      </w:r>
      <w:r>
        <w:t xml:space="preserve"> </w:t>
      </w:r>
      <w:r w:rsidRPr="00932E3A">
        <w:t>pressure and humidity sensors are influenced by the</w:t>
      </w:r>
      <w:r>
        <w:t xml:space="preserve"> </w:t>
      </w:r>
      <w:r w:rsidRPr="00932E3A">
        <w:t>temperature) and that, although the sensor itself</w:t>
      </w:r>
      <w:r>
        <w:t xml:space="preserve"> </w:t>
      </w:r>
      <w:r w:rsidRPr="00932E3A">
        <w:t>may be linear or incorporate linearization circuits,</w:t>
      </w:r>
      <w:r>
        <w:t xml:space="preserve"> </w:t>
      </w:r>
      <w:r w:rsidRPr="00932E3A">
        <w:t>the variables measured are not linearly related to the</w:t>
      </w:r>
      <w:r>
        <w:t xml:space="preserve"> </w:t>
      </w:r>
      <w:r w:rsidRPr="00932E3A">
        <w:t>atmospheric variable of interest (for example, the</w:t>
      </w:r>
      <w:r>
        <w:t xml:space="preserve"> </w:t>
      </w:r>
      <w:r w:rsidRPr="00932E3A">
        <w:t>output of a rotating beam ceilometer with photo</w:t>
      </w:r>
      <w:r>
        <w:t xml:space="preserve"> </w:t>
      </w:r>
      <w:r w:rsidRPr="00932E3A">
        <w:t>detector and shaft-angle encoder providing</w:t>
      </w:r>
      <w:r>
        <w:t xml:space="preserve"> </w:t>
      </w:r>
      <w:r w:rsidRPr="00932E3A">
        <w:t>backscattered</w:t>
      </w:r>
      <w:r>
        <w:t xml:space="preserve"> </w:t>
      </w:r>
      <w:r w:rsidRPr="00932E3A">
        <w:t>light intensity as a function of angle is</w:t>
      </w:r>
      <w:r>
        <w:t xml:space="preserve"> </w:t>
      </w:r>
      <w:r w:rsidRPr="00932E3A">
        <w:t>nonlinear in cloud height). As a consequence, it is</w:t>
      </w:r>
      <w:r>
        <w:t xml:space="preserve"> </w:t>
      </w:r>
      <w:r w:rsidRPr="00932E3A">
        <w:t>necessary to include corrections for non-linearity in</w:t>
      </w:r>
      <w:r>
        <w:t xml:space="preserve"> </w:t>
      </w:r>
      <w:r w:rsidRPr="00932E3A">
        <w:t xml:space="preserve">the conversion algorithms as far as </w:t>
      </w:r>
      <w:proofErr w:type="gramStart"/>
      <w:r w:rsidRPr="00932E3A">
        <w:t>this is not already</w:t>
      </w:r>
      <w:r>
        <w:t xml:space="preserve"> </w:t>
      </w:r>
      <w:r w:rsidRPr="00932E3A">
        <w:t xml:space="preserve">done by signal-conditioning </w:t>
      </w:r>
      <w:r w:rsidRPr="00932E3A">
        <w:lastRenderedPageBreak/>
        <w:t>modules</w:t>
      </w:r>
      <w:proofErr w:type="gramEnd"/>
      <w:r w:rsidRPr="00932E3A">
        <w:t>. Linearization</w:t>
      </w:r>
      <w:r>
        <w:t xml:space="preserve"> </w:t>
      </w:r>
      <w:r w:rsidRPr="00932E3A">
        <w:t>is of particular importance when mean values must</w:t>
      </w:r>
      <w:r>
        <w:t xml:space="preserve"> </w:t>
      </w:r>
      <w:r w:rsidRPr="00932E3A">
        <w:t>be calculated over a certain time. Indeed, when the</w:t>
      </w:r>
      <w:r>
        <w:t xml:space="preserve"> </w:t>
      </w:r>
      <w:r w:rsidRPr="00932E3A">
        <w:t>sensor signal is not constant throughout the</w:t>
      </w:r>
      <w:r>
        <w:t xml:space="preserve"> </w:t>
      </w:r>
      <w:r w:rsidRPr="00932E3A">
        <w:t>averaging period, the “average then linearize”</w:t>
      </w:r>
      <w:r>
        <w:t xml:space="preserve"> </w:t>
      </w:r>
      <w:r w:rsidRPr="00932E3A">
        <w:t>sequence of operation</w:t>
      </w:r>
      <w:r>
        <w:t xml:space="preserve">s can produce different results </w:t>
      </w:r>
      <w:r w:rsidRPr="00932E3A">
        <w:t>from the “linearize then average” sequence. The</w:t>
      </w:r>
      <w:r>
        <w:t xml:space="preserve"> </w:t>
      </w:r>
      <w:r w:rsidRPr="00932E3A">
        <w:t>correct procedure is to only average linear variables</w:t>
      </w:r>
      <w:r w:rsidR="00E040F6">
        <w:t>.</w:t>
      </w:r>
    </w:p>
    <w:p w14:paraId="06E536EE" w14:textId="77777777" w:rsidR="00E040F6" w:rsidRDefault="00E040F6" w:rsidP="00FC2749"/>
    <w:p w14:paraId="50DFBCC7" w14:textId="649D7C95" w:rsidR="00E040F6" w:rsidRPr="00E040F6" w:rsidRDefault="00E040F6" w:rsidP="004A333E">
      <w:pPr>
        <w:pStyle w:val="ListParagraph"/>
        <w:numPr>
          <w:ilvl w:val="3"/>
          <w:numId w:val="4"/>
        </w:numPr>
        <w:ind w:left="720" w:hanging="720"/>
        <w:rPr>
          <w:b/>
        </w:rPr>
      </w:pPr>
      <w:r w:rsidRPr="00E040F6">
        <w:rPr>
          <w:b/>
        </w:rPr>
        <w:t>Instantaneous meteorological values</w:t>
      </w:r>
    </w:p>
    <w:p w14:paraId="67E5593E" w14:textId="77777777" w:rsidR="00E040F6" w:rsidRPr="00E040F6" w:rsidRDefault="00E040F6" w:rsidP="004A333E">
      <w:pPr>
        <w:pStyle w:val="ListParagraph"/>
        <w:ind w:left="1440"/>
      </w:pPr>
    </w:p>
    <w:p w14:paraId="4EF75293" w14:textId="01CB86B7" w:rsidR="00E040F6" w:rsidRPr="00E040F6" w:rsidRDefault="00E040F6" w:rsidP="004A333E">
      <w:r w:rsidRPr="00E040F6">
        <w:t>The natural small</w:t>
      </w:r>
      <w:r w:rsidRPr="00E040F6">
        <w:rPr>
          <w:rFonts w:ascii="Palatino" w:hAnsi="Palatino" w:cs="Palatino"/>
        </w:rPr>
        <w:t>‑</w:t>
      </w:r>
      <w:r w:rsidRPr="00E040F6">
        <w:t>scale variability of the atmosphere,</w:t>
      </w:r>
      <w:r>
        <w:t xml:space="preserve"> </w:t>
      </w:r>
      <w:r w:rsidRPr="00E040F6">
        <w:t>the introduction of noise into the</w:t>
      </w:r>
      <w:r w:rsidR="004A333E">
        <w:t xml:space="preserve"> </w:t>
      </w:r>
      <w:r w:rsidRPr="00E040F6">
        <w:t>measurement process by electronic devices and, in</w:t>
      </w:r>
      <w:r>
        <w:t xml:space="preserve"> </w:t>
      </w:r>
      <w:r w:rsidRPr="00E040F6">
        <w:t>particular, the use of sensors with short time</w:t>
      </w:r>
      <w:r>
        <w:t xml:space="preserve"> </w:t>
      </w:r>
      <w:r w:rsidRPr="00E040F6">
        <w:t>constants</w:t>
      </w:r>
      <w:r>
        <w:t xml:space="preserve"> </w:t>
      </w:r>
      <w:r w:rsidRPr="00E040F6">
        <w:t>make averaging a most desirable process</w:t>
      </w:r>
      <w:r>
        <w:t xml:space="preserve"> for reducing the </w:t>
      </w:r>
      <w:r w:rsidRPr="00E040F6">
        <w:t>uncertainty of reported data.</w:t>
      </w:r>
      <w:r>
        <w:t xml:space="preserve"> </w:t>
      </w:r>
      <w:r w:rsidRPr="00E040F6">
        <w:t>In order to standardize averaging algorithms it is</w:t>
      </w:r>
    </w:p>
    <w:p w14:paraId="0127B8A8" w14:textId="7642E7A8" w:rsidR="00E040F6" w:rsidRPr="00E040F6" w:rsidRDefault="00E040F6" w:rsidP="004A333E">
      <w:proofErr w:type="gramStart"/>
      <w:r w:rsidRPr="00E040F6">
        <w:t>recommended</w:t>
      </w:r>
      <w:proofErr w:type="gramEnd"/>
      <w:r w:rsidRPr="00E040F6">
        <w:t>:</w:t>
      </w:r>
    </w:p>
    <w:p w14:paraId="28D780D2" w14:textId="0ACDDC6B" w:rsidR="00E040F6" w:rsidRPr="00E040F6" w:rsidRDefault="00E040F6" w:rsidP="00E040F6">
      <w:pPr>
        <w:ind w:left="720" w:hanging="360"/>
      </w:pPr>
      <w:r w:rsidRPr="00E040F6">
        <w:t>(a) That atmospheric pressure, air temperature,</w:t>
      </w:r>
      <w:r>
        <w:t xml:space="preserve"> </w:t>
      </w:r>
      <w:r w:rsidRPr="00E040F6">
        <w:t>air humidity, sea-surface temperature, visibility,</w:t>
      </w:r>
      <w:r>
        <w:t xml:space="preserve"> </w:t>
      </w:r>
      <w:r w:rsidRPr="00E040F6">
        <w:t>among others, be reported as 1 to 10 min</w:t>
      </w:r>
      <w:r>
        <w:t xml:space="preserve"> </w:t>
      </w:r>
      <w:r w:rsidRPr="00E040F6">
        <w:t>averages, which are obtained after linearization</w:t>
      </w:r>
      <w:r>
        <w:t xml:space="preserve"> </w:t>
      </w:r>
      <w:r w:rsidRPr="00E040F6">
        <w:t>of the sensor output;</w:t>
      </w:r>
    </w:p>
    <w:p w14:paraId="44F32C1E" w14:textId="288C2A77" w:rsidR="00E040F6" w:rsidRPr="00E040F6" w:rsidRDefault="00E040F6" w:rsidP="00E040F6">
      <w:pPr>
        <w:ind w:left="720" w:hanging="360"/>
      </w:pPr>
      <w:r w:rsidRPr="00E040F6">
        <w:t xml:space="preserve">(b) That wind, except wind gusts, </w:t>
      </w:r>
      <w:proofErr w:type="gramStart"/>
      <w:r w:rsidRPr="00E040F6">
        <w:t>be</w:t>
      </w:r>
      <w:proofErr w:type="gramEnd"/>
      <w:r w:rsidRPr="00E040F6">
        <w:t xml:space="preserve"> reported as 2</w:t>
      </w:r>
      <w:r>
        <w:t xml:space="preserve"> </w:t>
      </w:r>
      <w:r w:rsidRPr="00E040F6">
        <w:t>or 10 min averages, which are obtained after</w:t>
      </w:r>
      <w:r>
        <w:t xml:space="preserve"> </w:t>
      </w:r>
      <w:r w:rsidRPr="00E040F6">
        <w:t>linearization of the sensor output.</w:t>
      </w:r>
    </w:p>
    <w:p w14:paraId="2445DAE5" w14:textId="77777777" w:rsidR="00E040F6" w:rsidRDefault="00E040F6" w:rsidP="00E040F6"/>
    <w:p w14:paraId="65849BC4" w14:textId="49C5EF1C" w:rsidR="00CF1078" w:rsidRDefault="00E040F6" w:rsidP="00E040F6">
      <w:r w:rsidRPr="00E040F6">
        <w:t>These averaged values are to be considered as the</w:t>
      </w:r>
      <w:r>
        <w:t xml:space="preserve"> </w:t>
      </w:r>
      <w:r w:rsidRPr="00E040F6">
        <w:t>“instantaneous” values of meteorological variables</w:t>
      </w:r>
      <w:r>
        <w:t xml:space="preserve"> </w:t>
      </w:r>
      <w:r w:rsidRPr="00E040F6">
        <w:t>for use in most operational applications and should</w:t>
      </w:r>
      <w:r>
        <w:t xml:space="preserve"> </w:t>
      </w:r>
      <w:r w:rsidRPr="00E040F6">
        <w:t>not be confused with the raw instantaneous sensor</w:t>
      </w:r>
      <w:r>
        <w:t xml:space="preserve"> </w:t>
      </w:r>
      <w:r w:rsidRPr="00E040F6">
        <w:t>samples or the mean values over longer periods of</w:t>
      </w:r>
      <w:r>
        <w:t xml:space="preserve"> </w:t>
      </w:r>
      <w:r w:rsidRPr="00E040F6">
        <w:t>time required from some applications. One</w:t>
      </w:r>
      <w:r w:rsidRPr="00E040F6">
        <w:rPr>
          <w:rFonts w:ascii="Palatino" w:hAnsi="Palatino" w:cs="Palatino"/>
        </w:rPr>
        <w:t>‑</w:t>
      </w:r>
      <w:r w:rsidRPr="00E040F6">
        <w:t>minute</w:t>
      </w:r>
      <w:r>
        <w:t xml:space="preserve"> </w:t>
      </w:r>
      <w:r w:rsidRPr="00E040F6">
        <w:t>averages, as far as applicable, are suggested for most</w:t>
      </w:r>
      <w:r>
        <w:t xml:space="preserve"> </w:t>
      </w:r>
      <w:r w:rsidRPr="00E040F6">
        <w:t>variables as suitable instantaneous values.</w:t>
      </w:r>
      <w:r>
        <w:t xml:space="preserve"> </w:t>
      </w:r>
      <w:r w:rsidRPr="00E040F6">
        <w:t>Exceptions are wind (see (b) above) and wave measurements</w:t>
      </w:r>
      <w:r>
        <w:t xml:space="preserve"> </w:t>
      </w:r>
      <w:r w:rsidRPr="00E040F6">
        <w:t>(10 or 20 min averages). Considering the</w:t>
      </w:r>
      <w:r>
        <w:t xml:space="preserve"> </w:t>
      </w:r>
      <w:r w:rsidRPr="00E040F6">
        <w:t>discrepancy of observations between the peak gust</w:t>
      </w:r>
      <w:r>
        <w:t xml:space="preserve"> data obtained from wind </w:t>
      </w:r>
      <w:r w:rsidRPr="00E040F6">
        <w:t>measuring systems with</w:t>
      </w:r>
      <w:r>
        <w:t xml:space="preserve"> </w:t>
      </w:r>
      <w:r w:rsidRPr="00E040F6">
        <w:t>different time responses, it is recommended that</w:t>
      </w:r>
      <w:r>
        <w:t xml:space="preserve"> </w:t>
      </w:r>
      <w:r w:rsidRPr="00E040F6">
        <w:t>the filtering characteristics of a wind measuring</w:t>
      </w:r>
      <w:r>
        <w:t xml:space="preserve"> </w:t>
      </w:r>
      <w:r w:rsidRPr="00E040F6">
        <w:t>chain should be such that the reported peak gust</w:t>
      </w:r>
      <w:r>
        <w:t xml:space="preserve"> </w:t>
      </w:r>
      <w:r w:rsidRPr="00E040F6">
        <w:t>should represent a 3 s average. The highest 3 s average</w:t>
      </w:r>
      <w:r>
        <w:t xml:space="preserve"> </w:t>
      </w:r>
      <w:r w:rsidRPr="00E040F6">
        <w:t>should be reported. In practice, this entails</w:t>
      </w:r>
      <w:r>
        <w:t xml:space="preserve"> </w:t>
      </w:r>
      <w:r w:rsidRPr="00E040F6">
        <w:t>sampling the sensor output and calculating the 3 s</w:t>
      </w:r>
      <w:r>
        <w:t xml:space="preserve"> </w:t>
      </w:r>
      <w:r w:rsidRPr="00E040F6">
        <w:t>running mean at least one to four times a second.</w:t>
      </w:r>
      <w:r>
        <w:t xml:space="preserve"> </w:t>
      </w:r>
      <w:r w:rsidRPr="00E040F6">
        <w:t>Some specific quantities for which data conversion</w:t>
      </w:r>
      <w:r>
        <w:t xml:space="preserve"> </w:t>
      </w:r>
      <w:r w:rsidRPr="00E040F6">
        <w:t>is necessary and averaging is required before</w:t>
      </w:r>
      <w:r>
        <w:t xml:space="preserve"> </w:t>
      </w:r>
      <w:r w:rsidRPr="00E040F6">
        <w:t>conversion a</w:t>
      </w:r>
      <w:r w:rsidR="00CF1078">
        <w:t>re given in Part III, Chapter 2 (</w:t>
      </w:r>
      <w:hyperlink r:id="rId35" w:history="1">
        <w:r w:rsidR="00CF1078" w:rsidRPr="00C746B4">
          <w:rPr>
            <w:rStyle w:val="Hyperlink"/>
          </w:rPr>
          <w:t>https://www.wmo.int/pages/prog/www/IMOP/publications/CIMO-Guide/Ed2008Up2010/Part-III/WMO8_Ed2008_PartIII_Ch2_Up2010_en.pdf</w:t>
        </w:r>
      </w:hyperlink>
      <w:r w:rsidR="00CF1078">
        <w:t>).</w:t>
      </w:r>
    </w:p>
    <w:p w14:paraId="7D42ED0A" w14:textId="77777777" w:rsidR="00BD0738" w:rsidRDefault="00BD0738" w:rsidP="00E040F6"/>
    <w:p w14:paraId="2261963F" w14:textId="04CA982D" w:rsidR="00CF1078" w:rsidRDefault="00CF1078" w:rsidP="00E040F6">
      <w:r>
        <w:t xml:space="preserve">From Part III, Chapter 2: (pages III-2.1 - </w:t>
      </w:r>
    </w:p>
    <w:p w14:paraId="14CDC07D" w14:textId="77777777" w:rsidR="00CF1078" w:rsidRDefault="00CF1078" w:rsidP="00E040F6"/>
    <w:p w14:paraId="76B5C4A0" w14:textId="77777777" w:rsidR="00CF1078" w:rsidRPr="00CF1078" w:rsidRDefault="00CF1078" w:rsidP="00CF1078">
      <w:pPr>
        <w:rPr>
          <w:b/>
        </w:rPr>
      </w:pPr>
      <w:r w:rsidRPr="00CF1078">
        <w:rPr>
          <w:b/>
        </w:rPr>
        <w:t>2.1.1 Definitions</w:t>
      </w:r>
    </w:p>
    <w:p w14:paraId="1662A606" w14:textId="0889DAF4" w:rsidR="00CF1078" w:rsidRPr="00CF1078" w:rsidRDefault="00CF1078" w:rsidP="00CF1078">
      <w:r w:rsidRPr="00CF1078">
        <w:t>For the purposes of this chapter the following definitions</w:t>
      </w:r>
      <w:r>
        <w:t xml:space="preserve"> </w:t>
      </w:r>
      <w:r w:rsidRPr="00CF1078">
        <w:t>are used:</w:t>
      </w:r>
    </w:p>
    <w:p w14:paraId="2BA18AF3" w14:textId="77777777" w:rsidR="00CF1078" w:rsidRDefault="00CF1078" w:rsidP="00CF1078"/>
    <w:p w14:paraId="395860F7" w14:textId="6410E5A9" w:rsidR="00CF1078" w:rsidRPr="00CF1078" w:rsidRDefault="00CF1078" w:rsidP="00CF1078">
      <w:r w:rsidRPr="00CF1078">
        <w:rPr>
          <w:i/>
        </w:rPr>
        <w:t>Sampling</w:t>
      </w:r>
      <w:r w:rsidRPr="00CF1078">
        <w:t xml:space="preserve"> is the process of obtaining a discrete</w:t>
      </w:r>
      <w:r w:rsidR="00BD0738">
        <w:t xml:space="preserve"> </w:t>
      </w:r>
      <w:r w:rsidRPr="00CF1078">
        <w:t>sequence of measurements of a quantity.</w:t>
      </w:r>
    </w:p>
    <w:p w14:paraId="42A76E08" w14:textId="77777777" w:rsidR="00CF1078" w:rsidRDefault="00CF1078" w:rsidP="00CF1078"/>
    <w:p w14:paraId="4B21984E" w14:textId="241C68CD" w:rsidR="00CF1078" w:rsidRPr="00CF1078" w:rsidRDefault="00CF1078" w:rsidP="00CF1078">
      <w:r w:rsidRPr="00CF1078">
        <w:t xml:space="preserve">A </w:t>
      </w:r>
      <w:r w:rsidRPr="00CF1078">
        <w:rPr>
          <w:i/>
        </w:rPr>
        <w:t>sample</w:t>
      </w:r>
      <w:r w:rsidRPr="00CF1078">
        <w:t xml:space="preserve"> is a single measurement, typically one of a</w:t>
      </w:r>
      <w:r>
        <w:t xml:space="preserve"> </w:t>
      </w:r>
      <w:r w:rsidRPr="00CF1078">
        <w:t>seri</w:t>
      </w:r>
      <w:r>
        <w:t xml:space="preserve">es of spot readings of a sensor </w:t>
      </w:r>
      <w:r w:rsidRPr="00CF1078">
        <w:t>system. Note that</w:t>
      </w:r>
      <w:r>
        <w:t xml:space="preserve"> </w:t>
      </w:r>
      <w:r w:rsidRPr="00CF1078">
        <w:t>this differs from the usual meaning in statistics of a</w:t>
      </w:r>
      <w:r>
        <w:t xml:space="preserve"> </w:t>
      </w:r>
      <w:r w:rsidRPr="00CF1078">
        <w:t xml:space="preserve">set of numbers or </w:t>
      </w:r>
      <w:proofErr w:type="gramStart"/>
      <w:r w:rsidRPr="00CF1078">
        <w:t>measurements which</w:t>
      </w:r>
      <w:proofErr w:type="gramEnd"/>
      <w:r w:rsidRPr="00CF1078">
        <w:t xml:space="preserve"> is part of a</w:t>
      </w:r>
      <w:r>
        <w:t xml:space="preserve"> </w:t>
      </w:r>
      <w:r w:rsidRPr="00CF1078">
        <w:t>population.</w:t>
      </w:r>
    </w:p>
    <w:p w14:paraId="70ED4D59" w14:textId="77777777" w:rsidR="00CF1078" w:rsidRDefault="00CF1078" w:rsidP="00CF1078"/>
    <w:p w14:paraId="0BE4244E" w14:textId="5B9CBB97" w:rsidR="00CF1078" w:rsidRDefault="00CF1078" w:rsidP="00CF1078">
      <w:r w:rsidRPr="00CF1078">
        <w:t xml:space="preserve">An </w:t>
      </w:r>
      <w:r w:rsidRPr="00CF1078">
        <w:rPr>
          <w:i/>
        </w:rPr>
        <w:t>observation</w:t>
      </w:r>
      <w:r w:rsidRPr="00CF1078">
        <w:t xml:space="preserve"> is the result of the sampling process,</w:t>
      </w:r>
      <w:r w:rsidR="00BD0738">
        <w:t xml:space="preserve"> </w:t>
      </w:r>
      <w:r w:rsidRPr="00CF1078">
        <w:t>being the quantity reported or recorded (often also</w:t>
      </w:r>
      <w:r w:rsidR="00BE3705">
        <w:t xml:space="preserve"> </w:t>
      </w:r>
      <w:r w:rsidRPr="00CF1078">
        <w:t>called a measurement). In the context of time</w:t>
      </w:r>
      <w:r w:rsidRPr="00CF1078">
        <w:rPr>
          <w:rFonts w:ascii="Palatino" w:hAnsi="Palatino" w:cs="Palatino"/>
        </w:rPr>
        <w:t>‑</w:t>
      </w:r>
      <w:r w:rsidRPr="00CF1078">
        <w:t>series</w:t>
      </w:r>
      <w:r w:rsidR="00BE3705">
        <w:t xml:space="preserve"> </w:t>
      </w:r>
      <w:r w:rsidRPr="00CF1078">
        <w:t>analysis, an observation is derived from a number</w:t>
      </w:r>
      <w:r w:rsidR="00BE3705">
        <w:t xml:space="preserve"> </w:t>
      </w:r>
      <w:r w:rsidRPr="00CF1078">
        <w:t>of samples.</w:t>
      </w:r>
    </w:p>
    <w:p w14:paraId="26D56859" w14:textId="77777777" w:rsidR="00BD0738" w:rsidRDefault="00BD0738" w:rsidP="00CF1078"/>
    <w:p w14:paraId="4A5180A7" w14:textId="4D7FF444" w:rsidR="00CF1078" w:rsidRDefault="00BE3705" w:rsidP="00BE3705">
      <w:r w:rsidRPr="00BE3705">
        <w:t xml:space="preserve">The ISO definition of a </w:t>
      </w:r>
      <w:r w:rsidRPr="00BE3705">
        <w:rPr>
          <w:i/>
        </w:rPr>
        <w:t xml:space="preserve">measurement </w:t>
      </w:r>
      <w:r w:rsidRPr="00BE3705">
        <w:t>is a “set of</w:t>
      </w:r>
      <w:r>
        <w:t xml:space="preserve"> </w:t>
      </w:r>
      <w:r w:rsidRPr="00BE3705">
        <w:t>operations having the object of determining the</w:t>
      </w:r>
      <w:r>
        <w:t xml:space="preserve"> </w:t>
      </w:r>
      <w:r w:rsidRPr="00BE3705">
        <w:t>value of a quantity”. In common usage, the term</w:t>
      </w:r>
      <w:r>
        <w:t xml:space="preserve"> </w:t>
      </w:r>
      <w:r w:rsidRPr="00BE3705">
        <w:t>may be used to mean the value of either a sample or</w:t>
      </w:r>
      <w:r>
        <w:t xml:space="preserve"> </w:t>
      </w:r>
      <w:r w:rsidRPr="00BE3705">
        <w:t>an observation.</w:t>
      </w:r>
    </w:p>
    <w:p w14:paraId="78F06B76" w14:textId="77777777" w:rsidR="00BE3705" w:rsidRDefault="00BE3705" w:rsidP="00CF1078"/>
    <w:p w14:paraId="1B1CF8F1" w14:textId="0B32E99C" w:rsidR="00CF1078" w:rsidRDefault="00CF1078" w:rsidP="00CF1078">
      <w:r w:rsidRPr="00CF1078">
        <w:t xml:space="preserve">The </w:t>
      </w:r>
      <w:r w:rsidRPr="00CF1078">
        <w:rPr>
          <w:i/>
        </w:rPr>
        <w:t xml:space="preserve">sampling time </w:t>
      </w:r>
      <w:r w:rsidRPr="00CF1078">
        <w:t xml:space="preserve">or </w:t>
      </w:r>
      <w:r w:rsidRPr="00CF1078">
        <w:rPr>
          <w:i/>
        </w:rPr>
        <w:t>observation period</w:t>
      </w:r>
      <w:r w:rsidRPr="00CF1078">
        <w:t xml:space="preserve"> is the length</w:t>
      </w:r>
      <w:r>
        <w:t xml:space="preserve"> </w:t>
      </w:r>
      <w:r w:rsidRPr="00CF1078">
        <w:t>of the time over which one observation is made,</w:t>
      </w:r>
      <w:r>
        <w:t xml:space="preserve"> </w:t>
      </w:r>
      <w:r w:rsidRPr="00CF1078">
        <w:t>during which a number of individual samples are</w:t>
      </w:r>
      <w:r>
        <w:t xml:space="preserve"> </w:t>
      </w:r>
      <w:r w:rsidRPr="00CF1078">
        <w:t>taken.</w:t>
      </w:r>
      <w:r>
        <w:t xml:space="preserve"> </w:t>
      </w:r>
      <w:r w:rsidRPr="00CF1078">
        <w:t xml:space="preserve">The </w:t>
      </w:r>
      <w:r w:rsidRPr="00CF1078">
        <w:rPr>
          <w:i/>
        </w:rPr>
        <w:t>sampling interval</w:t>
      </w:r>
      <w:r w:rsidRPr="00CF1078">
        <w:t xml:space="preserve"> is the time between successive</w:t>
      </w:r>
      <w:r>
        <w:t xml:space="preserve"> </w:t>
      </w:r>
      <w:r w:rsidRPr="00CF1078">
        <w:t>observations.</w:t>
      </w:r>
    </w:p>
    <w:p w14:paraId="3CE421A8" w14:textId="77777777" w:rsidR="00BE3705" w:rsidRDefault="00BE3705" w:rsidP="00CF1078"/>
    <w:p w14:paraId="16EC0299" w14:textId="5941C084" w:rsidR="00BE3705" w:rsidRDefault="00BE3705" w:rsidP="00BE3705">
      <w:r w:rsidRPr="00BE3705">
        <w:t xml:space="preserve">The </w:t>
      </w:r>
      <w:r w:rsidRPr="00BE3705">
        <w:rPr>
          <w:i/>
        </w:rPr>
        <w:t>sampling function</w:t>
      </w:r>
      <w:r w:rsidRPr="00BE3705">
        <w:t xml:space="preserve"> or </w:t>
      </w:r>
      <w:r w:rsidRPr="00BE3705">
        <w:rPr>
          <w:i/>
        </w:rPr>
        <w:t>weighting function</w:t>
      </w:r>
      <w:r w:rsidRPr="00BE3705">
        <w:t xml:space="preserve"> is, in its</w:t>
      </w:r>
      <w:r>
        <w:t xml:space="preserve"> </w:t>
      </w:r>
      <w:r w:rsidRPr="00BE3705">
        <w:t>simplest definition, an algorithm for averaging or</w:t>
      </w:r>
      <w:r>
        <w:t xml:space="preserve"> </w:t>
      </w:r>
      <w:r w:rsidRPr="00BE3705">
        <w:t>filtering the individual samples.</w:t>
      </w:r>
    </w:p>
    <w:p w14:paraId="30425847" w14:textId="77777777" w:rsidR="00BE3705" w:rsidRDefault="00BE3705" w:rsidP="00BE3705"/>
    <w:p w14:paraId="7C416764" w14:textId="5804C042" w:rsidR="00BE3705" w:rsidRDefault="00BE3705" w:rsidP="00BE3705">
      <w:r w:rsidRPr="00BE3705">
        <w:t xml:space="preserve">The </w:t>
      </w:r>
      <w:r w:rsidRPr="00BE3705">
        <w:rPr>
          <w:i/>
        </w:rPr>
        <w:t>sampling frequency</w:t>
      </w:r>
      <w:r w:rsidRPr="00BE3705">
        <w:t xml:space="preserve"> is the frequency at which</w:t>
      </w:r>
      <w:r>
        <w:t xml:space="preserve"> </w:t>
      </w:r>
      <w:r w:rsidRPr="00BE3705">
        <w:t xml:space="preserve">samples are taken. The </w:t>
      </w:r>
      <w:r w:rsidRPr="00BE3705">
        <w:rPr>
          <w:i/>
        </w:rPr>
        <w:t>sample spacing</w:t>
      </w:r>
      <w:r w:rsidRPr="00BE3705">
        <w:t xml:space="preserve"> is the time</w:t>
      </w:r>
      <w:r>
        <w:t xml:space="preserve"> </w:t>
      </w:r>
      <w:r w:rsidRPr="00BE3705">
        <w:t>between samples.</w:t>
      </w:r>
    </w:p>
    <w:p w14:paraId="2F4274BF" w14:textId="77777777" w:rsidR="00BE3705" w:rsidRDefault="00BE3705" w:rsidP="00BE3705"/>
    <w:p w14:paraId="238593DD" w14:textId="20FBFDE6" w:rsidR="00BE3705" w:rsidRDefault="00BE3705" w:rsidP="00BE3705">
      <w:r w:rsidRPr="00BE3705">
        <w:rPr>
          <w:i/>
        </w:rPr>
        <w:t>Smoothing</w:t>
      </w:r>
      <w:r w:rsidRPr="00BE3705">
        <w:t xml:space="preserve"> is the process of attenuating the high</w:t>
      </w:r>
      <w:r>
        <w:t xml:space="preserve"> </w:t>
      </w:r>
      <w:r w:rsidRPr="00BE3705">
        <w:t>frequency components of the spectrum without</w:t>
      </w:r>
      <w:r>
        <w:t xml:space="preserve"> </w:t>
      </w:r>
      <w:r w:rsidRPr="00BE3705">
        <w:t>significantly affecting the lower frequencies. This</w:t>
      </w:r>
      <w:r>
        <w:t xml:space="preserve"> </w:t>
      </w:r>
      <w:r w:rsidRPr="00BE3705">
        <w:t>is usually done to remove noise (random errors</w:t>
      </w:r>
      <w:r>
        <w:t xml:space="preserve"> </w:t>
      </w:r>
      <w:r w:rsidRPr="00BE3705">
        <w:t>and fluctuations not relevant for the</w:t>
      </w:r>
      <w:r>
        <w:t xml:space="preserve"> </w:t>
      </w:r>
      <w:r w:rsidRPr="00BE3705">
        <w:t>application).</w:t>
      </w:r>
    </w:p>
    <w:p w14:paraId="7E2131E5" w14:textId="77777777" w:rsidR="006435CF" w:rsidRDefault="006435CF" w:rsidP="00260279">
      <w:pPr>
        <w:rPr>
          <w:rFonts w:ascii="Times New Roman" w:eastAsiaTheme="minorHAnsi" w:hAnsi="Times New Roman" w:cs="Times New Roman"/>
          <w:sz w:val="22"/>
          <w:szCs w:val="22"/>
          <w:lang w:val="en-AU"/>
        </w:rPr>
      </w:pPr>
    </w:p>
    <w:p w14:paraId="7BBFA7C7" w14:textId="0B2B2857" w:rsidR="00BE3705" w:rsidRPr="00BE3705" w:rsidRDefault="00BE3705" w:rsidP="00BE3705">
      <w:r w:rsidRPr="00BE3705">
        <w:t xml:space="preserve">A </w:t>
      </w:r>
      <w:r w:rsidRPr="00BE3705">
        <w:rPr>
          <w:i/>
        </w:rPr>
        <w:t>filter</w:t>
      </w:r>
      <w:r w:rsidRPr="00BE3705">
        <w:t xml:space="preserve"> is a device for attenuating or selecting any</w:t>
      </w:r>
      <w:r>
        <w:t xml:space="preserve"> </w:t>
      </w:r>
      <w:r w:rsidRPr="00BE3705">
        <w:t>c</w:t>
      </w:r>
      <w:r>
        <w:t xml:space="preserve">hosen frequencies. </w:t>
      </w:r>
      <w:proofErr w:type="gramStart"/>
      <w:r>
        <w:t xml:space="preserve">Smoothing is </w:t>
      </w:r>
      <w:r w:rsidRPr="00BE3705">
        <w:t>performed by a</w:t>
      </w:r>
      <w:r>
        <w:t xml:space="preserve"> </w:t>
      </w:r>
      <w:r w:rsidRPr="00BE3705">
        <w:rPr>
          <w:i/>
        </w:rPr>
        <w:t>low-pass</w:t>
      </w:r>
      <w:r w:rsidRPr="00BE3705">
        <w:t xml:space="preserve"> filter</w:t>
      </w:r>
      <w:proofErr w:type="gramEnd"/>
      <w:r w:rsidRPr="00BE3705">
        <w:t xml:space="preserve">, and the terms </w:t>
      </w:r>
      <w:r w:rsidRPr="00BE3705">
        <w:rPr>
          <w:i/>
        </w:rPr>
        <w:t>smoothing</w:t>
      </w:r>
      <w:r w:rsidRPr="00BE3705">
        <w:t xml:space="preserve"> and </w:t>
      </w:r>
      <w:r w:rsidRPr="00BE3705">
        <w:rPr>
          <w:i/>
        </w:rPr>
        <w:t>filtering</w:t>
      </w:r>
      <w:r>
        <w:t xml:space="preserve"> are often used </w:t>
      </w:r>
      <w:r w:rsidRPr="00BE3705">
        <w:t>interchangeably in this sense.</w:t>
      </w:r>
      <w:r>
        <w:t xml:space="preserve"> </w:t>
      </w:r>
      <w:r w:rsidRPr="00BE3705">
        <w:t xml:space="preserve">However, there are also </w:t>
      </w:r>
      <w:r w:rsidRPr="00BE3705">
        <w:rPr>
          <w:i/>
        </w:rPr>
        <w:t>high-pass</w:t>
      </w:r>
      <w:r w:rsidRPr="00BE3705">
        <w:t xml:space="preserve"> and </w:t>
      </w:r>
      <w:r w:rsidRPr="00BE3705">
        <w:rPr>
          <w:i/>
        </w:rPr>
        <w:t>band-pass</w:t>
      </w:r>
      <w:r>
        <w:t xml:space="preserve"> filters. </w:t>
      </w:r>
      <w:r w:rsidRPr="00BE3705">
        <w:t>Filtering may be a property of the instrument,</w:t>
      </w:r>
      <w:r>
        <w:t xml:space="preserve"> </w:t>
      </w:r>
      <w:r w:rsidRPr="00BE3705">
        <w:t>such as inertia, or it may be performed</w:t>
      </w:r>
    </w:p>
    <w:p w14:paraId="4E745253" w14:textId="0294831E" w:rsidR="00E040F6" w:rsidRDefault="00BE3705" w:rsidP="00BE3705">
      <w:proofErr w:type="gramStart"/>
      <w:r w:rsidRPr="00BE3705">
        <w:t>electronically</w:t>
      </w:r>
      <w:proofErr w:type="gramEnd"/>
      <w:r w:rsidRPr="00BE3705">
        <w:t xml:space="preserve"> or numerically.</w:t>
      </w:r>
    </w:p>
    <w:p w14:paraId="4D71D04A" w14:textId="77777777" w:rsidR="00926B9A" w:rsidRDefault="00926B9A" w:rsidP="00BE3705"/>
    <w:p w14:paraId="229BC5AB" w14:textId="77777777" w:rsidR="00926B9A" w:rsidRPr="00BE3705" w:rsidRDefault="00926B9A" w:rsidP="00BE3705"/>
    <w:sectPr w:rsidR="00926B9A" w:rsidRPr="00BE3705" w:rsidSect="00260279">
      <w:pgSz w:w="12240" w:h="15840"/>
      <w:pgMar w:top="1170" w:right="1620" w:bottom="720" w:left="153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002C8" w15:done="0"/>
  <w15:commentEx w15:paraId="1908B497" w15:done="0"/>
  <w15:commentEx w15:paraId="6717D0F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3AC86" w14:textId="77777777" w:rsidR="00D53C8A" w:rsidRDefault="00D53C8A" w:rsidP="002D1C3C">
      <w:r>
        <w:separator/>
      </w:r>
    </w:p>
  </w:endnote>
  <w:endnote w:type="continuationSeparator" w:id="0">
    <w:p w14:paraId="7C53643F" w14:textId="77777777" w:rsidR="00D53C8A" w:rsidRDefault="00D53C8A" w:rsidP="002D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AB730" w14:textId="77777777" w:rsidR="00D53C8A" w:rsidRDefault="00D53C8A" w:rsidP="002D1C3C">
      <w:r>
        <w:separator/>
      </w:r>
    </w:p>
  </w:footnote>
  <w:footnote w:type="continuationSeparator" w:id="0">
    <w:p w14:paraId="5EEC11A8" w14:textId="77777777" w:rsidR="00D53C8A" w:rsidRDefault="00D53C8A" w:rsidP="002D1C3C">
      <w:r>
        <w:continuationSeparator/>
      </w:r>
    </w:p>
  </w:footnote>
  <w:footnote w:id="1">
    <w:p w14:paraId="76A42524" w14:textId="30640DDD" w:rsidR="00D53C8A" w:rsidRPr="002D1C3C" w:rsidRDefault="00D53C8A">
      <w:pPr>
        <w:pStyle w:val="FootnoteText"/>
        <w:rPr>
          <w:sz w:val="20"/>
          <w:szCs w:val="20"/>
        </w:rPr>
      </w:pPr>
      <w:r>
        <w:rPr>
          <w:rStyle w:val="FootnoteReference"/>
        </w:rPr>
        <w:footnoteRef/>
      </w:r>
      <w:r>
        <w:t xml:space="preserve"> </w:t>
      </w:r>
      <w:r>
        <w:rPr>
          <w:sz w:val="20"/>
          <w:szCs w:val="20"/>
        </w:rPr>
        <w:t>Including product names is for information only and does not constitute an endorsement.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7098C"/>
    <w:multiLevelType w:val="hybridMultilevel"/>
    <w:tmpl w:val="01BE2098"/>
    <w:lvl w:ilvl="0" w:tplc="03B21A54">
      <w:start w:val="1"/>
      <w:numFmt w:val="upperRoman"/>
      <w:lvlText w:val="%1."/>
      <w:lvlJc w:val="left"/>
      <w:pPr>
        <w:ind w:left="1080" w:hanging="720"/>
      </w:pPr>
      <w:rPr>
        <w:rFonts w:hint="default"/>
      </w:rPr>
    </w:lvl>
    <w:lvl w:ilvl="1" w:tplc="E58A8C04">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44B47"/>
    <w:multiLevelType w:val="hybridMultilevel"/>
    <w:tmpl w:val="69CEA560"/>
    <w:lvl w:ilvl="0" w:tplc="BB5E94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D24AF3"/>
    <w:multiLevelType w:val="hybridMultilevel"/>
    <w:tmpl w:val="F3606D6E"/>
    <w:lvl w:ilvl="0" w:tplc="0E542D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B1298"/>
    <w:multiLevelType w:val="hybridMultilevel"/>
    <w:tmpl w:val="48B006B2"/>
    <w:lvl w:ilvl="0" w:tplc="79AEA0B8">
      <w:start w:val="53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B67F9"/>
    <w:multiLevelType w:val="hybridMultilevel"/>
    <w:tmpl w:val="08D89A74"/>
    <w:lvl w:ilvl="0" w:tplc="03B21A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6EC29C0">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83306"/>
    <w:multiLevelType w:val="hybridMultilevel"/>
    <w:tmpl w:val="35E63906"/>
    <w:lvl w:ilvl="0" w:tplc="03B21A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8DE512A">
      <w:start w:val="2"/>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1061C"/>
    <w:multiLevelType w:val="hybridMultilevel"/>
    <w:tmpl w:val="74AC72EC"/>
    <w:lvl w:ilvl="0" w:tplc="03B21A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441BC"/>
    <w:multiLevelType w:val="hybridMultilevel"/>
    <w:tmpl w:val="4B100406"/>
    <w:lvl w:ilvl="0" w:tplc="B93CB9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F87935"/>
    <w:multiLevelType w:val="hybridMultilevel"/>
    <w:tmpl w:val="4B100406"/>
    <w:lvl w:ilvl="0" w:tplc="B93CB9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7355C9"/>
    <w:multiLevelType w:val="hybridMultilevel"/>
    <w:tmpl w:val="AA0C1D96"/>
    <w:lvl w:ilvl="0" w:tplc="03B21A54">
      <w:start w:val="1"/>
      <w:numFmt w:val="upperRoman"/>
      <w:lvlText w:val="%1."/>
      <w:lvlJc w:val="left"/>
      <w:pPr>
        <w:ind w:left="1080" w:hanging="720"/>
      </w:pPr>
      <w:rPr>
        <w:rFonts w:hint="default"/>
      </w:rPr>
    </w:lvl>
    <w:lvl w:ilvl="1" w:tplc="1C2637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E3E1E"/>
    <w:multiLevelType w:val="hybridMultilevel"/>
    <w:tmpl w:val="D3DE640A"/>
    <w:lvl w:ilvl="0" w:tplc="401E50D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8660C"/>
    <w:multiLevelType w:val="hybridMultilevel"/>
    <w:tmpl w:val="EFC05A0C"/>
    <w:lvl w:ilvl="0" w:tplc="29DE85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65859"/>
    <w:multiLevelType w:val="hybridMultilevel"/>
    <w:tmpl w:val="52FAA5CA"/>
    <w:lvl w:ilvl="0" w:tplc="03B21A54">
      <w:start w:val="1"/>
      <w:numFmt w:val="upperRoman"/>
      <w:lvlText w:val="%1."/>
      <w:lvlJc w:val="left"/>
      <w:pPr>
        <w:ind w:left="1080" w:hanging="720"/>
      </w:pPr>
      <w:rPr>
        <w:rFonts w:hint="default"/>
      </w:rPr>
    </w:lvl>
    <w:lvl w:ilvl="1" w:tplc="E58A8C04">
      <w:start w:val="2"/>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401E50DE">
      <w:start w:val="1"/>
      <w:numFmt w:val="bullet"/>
      <w:lvlText w:val="-"/>
      <w:lvlJc w:val="left"/>
      <w:pPr>
        <w:ind w:left="2880" w:hanging="360"/>
      </w:pPr>
      <w:rPr>
        <w:rFonts w:ascii="Cambria" w:eastAsiaTheme="minorEastAsia"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50E79"/>
    <w:multiLevelType w:val="hybridMultilevel"/>
    <w:tmpl w:val="B7526166"/>
    <w:lvl w:ilvl="0" w:tplc="03B21A54">
      <w:start w:val="1"/>
      <w:numFmt w:val="upperRoman"/>
      <w:lvlText w:val="%1."/>
      <w:lvlJc w:val="left"/>
      <w:pPr>
        <w:ind w:left="1080" w:hanging="720"/>
      </w:pPr>
      <w:rPr>
        <w:rFonts w:hint="default"/>
      </w:rPr>
    </w:lvl>
    <w:lvl w:ilvl="1" w:tplc="E58A8C04">
      <w:start w:val="2"/>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C031A"/>
    <w:multiLevelType w:val="hybridMultilevel"/>
    <w:tmpl w:val="7DA6EBA0"/>
    <w:lvl w:ilvl="0" w:tplc="75D84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F5B1B"/>
    <w:multiLevelType w:val="hybridMultilevel"/>
    <w:tmpl w:val="0734AE52"/>
    <w:lvl w:ilvl="0" w:tplc="38BC02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B480D"/>
    <w:multiLevelType w:val="hybridMultilevel"/>
    <w:tmpl w:val="E312E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682C73"/>
    <w:multiLevelType w:val="hybridMultilevel"/>
    <w:tmpl w:val="1438E87E"/>
    <w:lvl w:ilvl="0" w:tplc="EB907D12">
      <w:start w:val="1"/>
      <w:numFmt w:val="decimal"/>
      <w:lvlText w:val="%1."/>
      <w:lvlJc w:val="left"/>
      <w:pPr>
        <w:ind w:left="360" w:hanging="360"/>
      </w:pPr>
      <w:rPr>
        <w:rFonts w:asciiTheme="majorHAnsi" w:hAnsiTheme="majorHAnsi" w:cs="Times New Roman"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41533E"/>
    <w:multiLevelType w:val="hybridMultilevel"/>
    <w:tmpl w:val="773A5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E5DC1"/>
    <w:multiLevelType w:val="hybridMultilevel"/>
    <w:tmpl w:val="AB2AF7C8"/>
    <w:lvl w:ilvl="0" w:tplc="491297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3317D0"/>
    <w:multiLevelType w:val="hybridMultilevel"/>
    <w:tmpl w:val="8F645592"/>
    <w:lvl w:ilvl="0" w:tplc="03B21A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6529398">
      <w:start w:val="3"/>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6030E"/>
    <w:multiLevelType w:val="multilevel"/>
    <w:tmpl w:val="1182F690"/>
    <w:lvl w:ilvl="0">
      <w:start w:val="1"/>
      <w:numFmt w:val="upperRoman"/>
      <w:lvlText w:val="%1."/>
      <w:lvlJc w:val="left"/>
      <w:pPr>
        <w:ind w:left="1080" w:hanging="720"/>
      </w:pPr>
      <w:rPr>
        <w:rFonts w:hint="default"/>
      </w:rPr>
    </w:lvl>
    <w:lvl w:ilvl="1">
      <w:start w:val="3"/>
      <w:numFmt w:val="decimal"/>
      <w:isLgl/>
      <w:lvlText w:val="%1.%2"/>
      <w:lvlJc w:val="left"/>
      <w:pPr>
        <w:ind w:left="1100" w:hanging="740"/>
      </w:pPr>
      <w:rPr>
        <w:rFonts w:hint="default"/>
      </w:rPr>
    </w:lvl>
    <w:lvl w:ilvl="2">
      <w:start w:val="2"/>
      <w:numFmt w:val="decimal"/>
      <w:isLgl/>
      <w:lvlText w:val="%1.%2.%3"/>
      <w:lvlJc w:val="left"/>
      <w:pPr>
        <w:ind w:left="1100" w:hanging="74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F450672"/>
    <w:multiLevelType w:val="hybridMultilevel"/>
    <w:tmpl w:val="9BF225C6"/>
    <w:lvl w:ilvl="0" w:tplc="7486D382">
      <w:start w:val="2"/>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46349F"/>
    <w:multiLevelType w:val="hybridMultilevel"/>
    <w:tmpl w:val="073C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0F7F19"/>
    <w:multiLevelType w:val="hybridMultilevel"/>
    <w:tmpl w:val="4D1EFB04"/>
    <w:lvl w:ilvl="0" w:tplc="03B21A54">
      <w:start w:val="1"/>
      <w:numFmt w:val="upperRoman"/>
      <w:lvlText w:val="%1."/>
      <w:lvlJc w:val="left"/>
      <w:pPr>
        <w:ind w:left="1080" w:hanging="720"/>
      </w:pPr>
      <w:rPr>
        <w:rFonts w:hint="default"/>
      </w:rPr>
    </w:lvl>
    <w:lvl w:ilvl="1" w:tplc="E58A8C04">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401E50DE">
      <w:start w:val="1"/>
      <w:numFmt w:val="bullet"/>
      <w:lvlText w:val="-"/>
      <w:lvlJc w:val="left"/>
      <w:pPr>
        <w:ind w:left="2880" w:hanging="360"/>
      </w:pPr>
      <w:rPr>
        <w:rFonts w:ascii="Cambria" w:eastAsiaTheme="minorEastAsia"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87B4A"/>
    <w:multiLevelType w:val="hybridMultilevel"/>
    <w:tmpl w:val="539E6306"/>
    <w:lvl w:ilvl="0" w:tplc="03B21A54">
      <w:start w:val="1"/>
      <w:numFmt w:val="upperRoman"/>
      <w:lvlText w:val="%1."/>
      <w:lvlJc w:val="left"/>
      <w:pPr>
        <w:ind w:left="1080" w:hanging="720"/>
      </w:pPr>
      <w:rPr>
        <w:rFonts w:hint="default"/>
      </w:rPr>
    </w:lvl>
    <w:lvl w:ilvl="1" w:tplc="E58A8C04">
      <w:start w:val="2"/>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401E50DE">
      <w:start w:val="1"/>
      <w:numFmt w:val="bullet"/>
      <w:lvlText w:val="-"/>
      <w:lvlJc w:val="left"/>
      <w:pPr>
        <w:ind w:left="2880" w:hanging="360"/>
      </w:pPr>
      <w:rPr>
        <w:rFonts w:ascii="Cambria" w:eastAsiaTheme="minorEastAsia" w:hAnsi="Cambria"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F1E9D"/>
    <w:multiLevelType w:val="hybridMultilevel"/>
    <w:tmpl w:val="65945E84"/>
    <w:lvl w:ilvl="0" w:tplc="1C263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770292"/>
    <w:multiLevelType w:val="hybridMultilevel"/>
    <w:tmpl w:val="046CE1B4"/>
    <w:lvl w:ilvl="0" w:tplc="03B21A54">
      <w:start w:val="1"/>
      <w:numFmt w:val="upperRoman"/>
      <w:lvlText w:val="%1."/>
      <w:lvlJc w:val="left"/>
      <w:pPr>
        <w:ind w:left="1080" w:hanging="720"/>
      </w:pPr>
      <w:rPr>
        <w:rFonts w:hint="default"/>
      </w:rPr>
    </w:lvl>
    <w:lvl w:ilvl="1" w:tplc="DA9C541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94C3A44">
      <w:start w:val="1"/>
      <w:numFmt w:val="bullet"/>
      <w:lvlText w:val="-"/>
      <w:lvlJc w:val="left"/>
      <w:pPr>
        <w:ind w:left="3960" w:hanging="72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E094A"/>
    <w:multiLevelType w:val="hybridMultilevel"/>
    <w:tmpl w:val="07B88022"/>
    <w:lvl w:ilvl="0" w:tplc="30A23F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911E0"/>
    <w:multiLevelType w:val="hybridMultilevel"/>
    <w:tmpl w:val="FE26C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2"/>
  </w:num>
  <w:num w:numId="4">
    <w:abstractNumId w:val="22"/>
  </w:num>
  <w:num w:numId="5">
    <w:abstractNumId w:val="16"/>
  </w:num>
  <w:num w:numId="6">
    <w:abstractNumId w:val="11"/>
  </w:num>
  <w:num w:numId="7">
    <w:abstractNumId w:val="2"/>
  </w:num>
  <w:num w:numId="8">
    <w:abstractNumId w:val="3"/>
  </w:num>
  <w:num w:numId="9">
    <w:abstractNumId w:val="20"/>
  </w:num>
  <w:num w:numId="10">
    <w:abstractNumId w:val="9"/>
  </w:num>
  <w:num w:numId="11">
    <w:abstractNumId w:val="10"/>
  </w:num>
  <w:num w:numId="12">
    <w:abstractNumId w:val="1"/>
  </w:num>
  <w:num w:numId="13">
    <w:abstractNumId w:val="5"/>
  </w:num>
  <w:num w:numId="14">
    <w:abstractNumId w:val="6"/>
  </w:num>
  <w:num w:numId="15">
    <w:abstractNumId w:val="21"/>
  </w:num>
  <w:num w:numId="16">
    <w:abstractNumId w:val="8"/>
  </w:num>
  <w:num w:numId="17">
    <w:abstractNumId w:val="28"/>
  </w:num>
  <w:num w:numId="18">
    <w:abstractNumId w:val="14"/>
  </w:num>
  <w:num w:numId="19">
    <w:abstractNumId w:val="26"/>
  </w:num>
  <w:num w:numId="20">
    <w:abstractNumId w:val="25"/>
  </w:num>
  <w:num w:numId="21">
    <w:abstractNumId w:val="13"/>
  </w:num>
  <w:num w:numId="22">
    <w:abstractNumId w:val="19"/>
  </w:num>
  <w:num w:numId="23">
    <w:abstractNumId w:val="0"/>
  </w:num>
  <w:num w:numId="24">
    <w:abstractNumId w:val="30"/>
  </w:num>
  <w:num w:numId="25">
    <w:abstractNumId w:val="27"/>
  </w:num>
  <w:num w:numId="26">
    <w:abstractNumId w:val="18"/>
  </w:num>
  <w:num w:numId="27">
    <w:abstractNumId w:val="17"/>
  </w:num>
  <w:num w:numId="28">
    <w:abstractNumId w:val="24"/>
  </w:num>
  <w:num w:numId="29">
    <w:abstractNumId w:val="29"/>
  </w:num>
  <w:num w:numId="30">
    <w:abstractNumId w:val="23"/>
  </w:num>
  <w:num w:numId="3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Strickland">
    <w15:presenceInfo w15:providerId="AD" w15:userId="S-1-5-21-447180386-889211592-312552118-1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4A"/>
    <w:rsid w:val="000008A7"/>
    <w:rsid w:val="00003029"/>
    <w:rsid w:val="000060A7"/>
    <w:rsid w:val="00014A29"/>
    <w:rsid w:val="00035AD3"/>
    <w:rsid w:val="000506F0"/>
    <w:rsid w:val="00060B5A"/>
    <w:rsid w:val="00063E6A"/>
    <w:rsid w:val="0006633B"/>
    <w:rsid w:val="00071B81"/>
    <w:rsid w:val="0007242C"/>
    <w:rsid w:val="000871AD"/>
    <w:rsid w:val="000B1A5A"/>
    <w:rsid w:val="000B76EA"/>
    <w:rsid w:val="000B7FB2"/>
    <w:rsid w:val="000D38B5"/>
    <w:rsid w:val="000D550A"/>
    <w:rsid w:val="000E5508"/>
    <w:rsid w:val="000E7937"/>
    <w:rsid w:val="001218F8"/>
    <w:rsid w:val="00130C06"/>
    <w:rsid w:val="00151DEA"/>
    <w:rsid w:val="00163510"/>
    <w:rsid w:val="00167BDE"/>
    <w:rsid w:val="00191D05"/>
    <w:rsid w:val="00193B43"/>
    <w:rsid w:val="00195175"/>
    <w:rsid w:val="00195638"/>
    <w:rsid w:val="001A5FCA"/>
    <w:rsid w:val="001A7E44"/>
    <w:rsid w:val="001B28C5"/>
    <w:rsid w:val="001D1849"/>
    <w:rsid w:val="001D3C4D"/>
    <w:rsid w:val="001F4348"/>
    <w:rsid w:val="00213BAB"/>
    <w:rsid w:val="002212D2"/>
    <w:rsid w:val="0024150B"/>
    <w:rsid w:val="00246C66"/>
    <w:rsid w:val="00255D34"/>
    <w:rsid w:val="00260279"/>
    <w:rsid w:val="00295C8A"/>
    <w:rsid w:val="002A3CF3"/>
    <w:rsid w:val="002A6345"/>
    <w:rsid w:val="002A720C"/>
    <w:rsid w:val="002C136B"/>
    <w:rsid w:val="002D1C3C"/>
    <w:rsid w:val="002E2163"/>
    <w:rsid w:val="002F2B26"/>
    <w:rsid w:val="00304AC0"/>
    <w:rsid w:val="00321BA9"/>
    <w:rsid w:val="00330315"/>
    <w:rsid w:val="00354BA7"/>
    <w:rsid w:val="00376B0D"/>
    <w:rsid w:val="00381B48"/>
    <w:rsid w:val="003A1847"/>
    <w:rsid w:val="003A22D7"/>
    <w:rsid w:val="003A5299"/>
    <w:rsid w:val="003B11A4"/>
    <w:rsid w:val="003B59F3"/>
    <w:rsid w:val="003B706F"/>
    <w:rsid w:val="003C0BDD"/>
    <w:rsid w:val="003C1B37"/>
    <w:rsid w:val="003C3FC0"/>
    <w:rsid w:val="003D2024"/>
    <w:rsid w:val="003D2E55"/>
    <w:rsid w:val="003F0E5B"/>
    <w:rsid w:val="003F5E00"/>
    <w:rsid w:val="00400D2E"/>
    <w:rsid w:val="0041464E"/>
    <w:rsid w:val="00422E85"/>
    <w:rsid w:val="00425487"/>
    <w:rsid w:val="00426632"/>
    <w:rsid w:val="00437A06"/>
    <w:rsid w:val="00471DEC"/>
    <w:rsid w:val="00476AF8"/>
    <w:rsid w:val="0048706F"/>
    <w:rsid w:val="0049003E"/>
    <w:rsid w:val="004A2D4D"/>
    <w:rsid w:val="004A333E"/>
    <w:rsid w:val="004B0843"/>
    <w:rsid w:val="004D0009"/>
    <w:rsid w:val="004F5896"/>
    <w:rsid w:val="004F6F92"/>
    <w:rsid w:val="00520078"/>
    <w:rsid w:val="00520F9E"/>
    <w:rsid w:val="0052562E"/>
    <w:rsid w:val="00563AE4"/>
    <w:rsid w:val="0057550B"/>
    <w:rsid w:val="00580DED"/>
    <w:rsid w:val="00583D40"/>
    <w:rsid w:val="00586284"/>
    <w:rsid w:val="005C184A"/>
    <w:rsid w:val="005D2C98"/>
    <w:rsid w:val="006038AF"/>
    <w:rsid w:val="00606130"/>
    <w:rsid w:val="00612228"/>
    <w:rsid w:val="006218A2"/>
    <w:rsid w:val="00630F74"/>
    <w:rsid w:val="006418AB"/>
    <w:rsid w:val="006435CF"/>
    <w:rsid w:val="00656BCD"/>
    <w:rsid w:val="00671A3C"/>
    <w:rsid w:val="0067450E"/>
    <w:rsid w:val="006810F1"/>
    <w:rsid w:val="00686C2A"/>
    <w:rsid w:val="006972B7"/>
    <w:rsid w:val="006A2BD3"/>
    <w:rsid w:val="006A7C33"/>
    <w:rsid w:val="006B6640"/>
    <w:rsid w:val="006D292D"/>
    <w:rsid w:val="006F0D72"/>
    <w:rsid w:val="00707D3B"/>
    <w:rsid w:val="00712C7F"/>
    <w:rsid w:val="00714407"/>
    <w:rsid w:val="007156FD"/>
    <w:rsid w:val="007255E6"/>
    <w:rsid w:val="007556A9"/>
    <w:rsid w:val="00763FD7"/>
    <w:rsid w:val="00764755"/>
    <w:rsid w:val="00766BE8"/>
    <w:rsid w:val="007679CA"/>
    <w:rsid w:val="00777523"/>
    <w:rsid w:val="0079307D"/>
    <w:rsid w:val="007A49A0"/>
    <w:rsid w:val="007A6063"/>
    <w:rsid w:val="007A71B4"/>
    <w:rsid w:val="007B24DE"/>
    <w:rsid w:val="007B3ABB"/>
    <w:rsid w:val="007D7512"/>
    <w:rsid w:val="007F2060"/>
    <w:rsid w:val="007F2CB7"/>
    <w:rsid w:val="007F35E8"/>
    <w:rsid w:val="007F4C64"/>
    <w:rsid w:val="00805228"/>
    <w:rsid w:val="00806C65"/>
    <w:rsid w:val="00821B12"/>
    <w:rsid w:val="00851A4B"/>
    <w:rsid w:val="0086158A"/>
    <w:rsid w:val="0089353E"/>
    <w:rsid w:val="008A10E2"/>
    <w:rsid w:val="008A5E93"/>
    <w:rsid w:val="008C132E"/>
    <w:rsid w:val="008E148B"/>
    <w:rsid w:val="009031DE"/>
    <w:rsid w:val="00903CB4"/>
    <w:rsid w:val="00926B9A"/>
    <w:rsid w:val="0092789A"/>
    <w:rsid w:val="00955377"/>
    <w:rsid w:val="009565BD"/>
    <w:rsid w:val="0097578F"/>
    <w:rsid w:val="00975B85"/>
    <w:rsid w:val="009772CF"/>
    <w:rsid w:val="009A57B4"/>
    <w:rsid w:val="009A731C"/>
    <w:rsid w:val="009A7394"/>
    <w:rsid w:val="009B6381"/>
    <w:rsid w:val="009C01F0"/>
    <w:rsid w:val="009D063F"/>
    <w:rsid w:val="009D0FC3"/>
    <w:rsid w:val="00A0299F"/>
    <w:rsid w:val="00A05D64"/>
    <w:rsid w:val="00A11512"/>
    <w:rsid w:val="00A30A99"/>
    <w:rsid w:val="00A64915"/>
    <w:rsid w:val="00A64B7E"/>
    <w:rsid w:val="00AA40E0"/>
    <w:rsid w:val="00AC7DB2"/>
    <w:rsid w:val="00AE590D"/>
    <w:rsid w:val="00B00601"/>
    <w:rsid w:val="00B04F93"/>
    <w:rsid w:val="00B24FAE"/>
    <w:rsid w:val="00B37EE7"/>
    <w:rsid w:val="00B44C2D"/>
    <w:rsid w:val="00B50EE7"/>
    <w:rsid w:val="00B51B3C"/>
    <w:rsid w:val="00B76E72"/>
    <w:rsid w:val="00BB5AF3"/>
    <w:rsid w:val="00BC0DD9"/>
    <w:rsid w:val="00BC633E"/>
    <w:rsid w:val="00BD0738"/>
    <w:rsid w:val="00BE1A5A"/>
    <w:rsid w:val="00BE1B48"/>
    <w:rsid w:val="00BE3705"/>
    <w:rsid w:val="00BE3B81"/>
    <w:rsid w:val="00BE3CF6"/>
    <w:rsid w:val="00BF0723"/>
    <w:rsid w:val="00C01FC9"/>
    <w:rsid w:val="00C124C5"/>
    <w:rsid w:val="00C446D7"/>
    <w:rsid w:val="00C55F24"/>
    <w:rsid w:val="00C84579"/>
    <w:rsid w:val="00C87A10"/>
    <w:rsid w:val="00CA20A3"/>
    <w:rsid w:val="00CA6050"/>
    <w:rsid w:val="00CD2279"/>
    <w:rsid w:val="00CF1078"/>
    <w:rsid w:val="00CF2488"/>
    <w:rsid w:val="00D178E1"/>
    <w:rsid w:val="00D22C68"/>
    <w:rsid w:val="00D45B8F"/>
    <w:rsid w:val="00D53C8A"/>
    <w:rsid w:val="00D71FE0"/>
    <w:rsid w:val="00D75914"/>
    <w:rsid w:val="00D75E1D"/>
    <w:rsid w:val="00D8124C"/>
    <w:rsid w:val="00D97A0C"/>
    <w:rsid w:val="00DA04A4"/>
    <w:rsid w:val="00DB1918"/>
    <w:rsid w:val="00DB5B15"/>
    <w:rsid w:val="00DB6945"/>
    <w:rsid w:val="00DC5665"/>
    <w:rsid w:val="00DD0EF8"/>
    <w:rsid w:val="00DD595F"/>
    <w:rsid w:val="00DD6CE5"/>
    <w:rsid w:val="00E040F6"/>
    <w:rsid w:val="00E071C3"/>
    <w:rsid w:val="00E22209"/>
    <w:rsid w:val="00E370EA"/>
    <w:rsid w:val="00E5656D"/>
    <w:rsid w:val="00E63DC7"/>
    <w:rsid w:val="00E81071"/>
    <w:rsid w:val="00E92DB1"/>
    <w:rsid w:val="00EC35CA"/>
    <w:rsid w:val="00ED1864"/>
    <w:rsid w:val="00EF1696"/>
    <w:rsid w:val="00F362D9"/>
    <w:rsid w:val="00F64AAB"/>
    <w:rsid w:val="00F66FD5"/>
    <w:rsid w:val="00F7059C"/>
    <w:rsid w:val="00F725B2"/>
    <w:rsid w:val="00FA55B6"/>
    <w:rsid w:val="00FC11AB"/>
    <w:rsid w:val="00FC2749"/>
    <w:rsid w:val="00FD1AB3"/>
    <w:rsid w:val="00FE01DC"/>
    <w:rsid w:val="00FE0EBA"/>
    <w:rsid w:val="00FE3FDD"/>
    <w:rsid w:val="00FE45C3"/>
    <w:rsid w:val="00FE5C69"/>
    <w:rsid w:val="00FE7503"/>
    <w:rsid w:val="00FF3BA2"/>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25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2D"/>
    <w:pPr>
      <w:ind w:left="720"/>
      <w:contextualSpacing/>
    </w:pPr>
  </w:style>
  <w:style w:type="paragraph" w:styleId="BalloonText">
    <w:name w:val="Balloon Text"/>
    <w:basedOn w:val="Normal"/>
    <w:link w:val="BalloonTextChar"/>
    <w:uiPriority w:val="99"/>
    <w:semiHidden/>
    <w:unhideWhenUsed/>
    <w:rsid w:val="00003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0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1B81"/>
    <w:rPr>
      <w:sz w:val="16"/>
      <w:szCs w:val="16"/>
    </w:rPr>
  </w:style>
  <w:style w:type="paragraph" w:styleId="CommentText">
    <w:name w:val="annotation text"/>
    <w:basedOn w:val="Normal"/>
    <w:link w:val="CommentTextChar"/>
    <w:uiPriority w:val="99"/>
    <w:semiHidden/>
    <w:unhideWhenUsed/>
    <w:rsid w:val="00071B81"/>
    <w:rPr>
      <w:sz w:val="20"/>
      <w:szCs w:val="20"/>
    </w:rPr>
  </w:style>
  <w:style w:type="character" w:customStyle="1" w:styleId="CommentTextChar">
    <w:name w:val="Comment Text Char"/>
    <w:basedOn w:val="DefaultParagraphFont"/>
    <w:link w:val="CommentText"/>
    <w:uiPriority w:val="99"/>
    <w:semiHidden/>
    <w:rsid w:val="00071B81"/>
    <w:rPr>
      <w:sz w:val="20"/>
      <w:szCs w:val="20"/>
    </w:rPr>
  </w:style>
  <w:style w:type="paragraph" w:styleId="CommentSubject">
    <w:name w:val="annotation subject"/>
    <w:basedOn w:val="CommentText"/>
    <w:next w:val="CommentText"/>
    <w:link w:val="CommentSubjectChar"/>
    <w:uiPriority w:val="99"/>
    <w:semiHidden/>
    <w:unhideWhenUsed/>
    <w:rsid w:val="00071B81"/>
    <w:rPr>
      <w:b/>
      <w:bCs/>
    </w:rPr>
  </w:style>
  <w:style w:type="character" w:customStyle="1" w:styleId="CommentSubjectChar">
    <w:name w:val="Comment Subject Char"/>
    <w:basedOn w:val="CommentTextChar"/>
    <w:link w:val="CommentSubject"/>
    <w:uiPriority w:val="99"/>
    <w:semiHidden/>
    <w:rsid w:val="00071B81"/>
    <w:rPr>
      <w:b/>
      <w:bCs/>
      <w:sz w:val="20"/>
      <w:szCs w:val="20"/>
    </w:rPr>
  </w:style>
  <w:style w:type="paragraph" w:styleId="NoSpacing">
    <w:name w:val="No Spacing"/>
    <w:uiPriority w:val="1"/>
    <w:qFormat/>
    <w:rsid w:val="003A5299"/>
    <w:rPr>
      <w:rFonts w:ascii="Times New Roman" w:eastAsiaTheme="minorHAnsi" w:hAnsi="Times New Roman" w:cs="Times New Roman"/>
      <w:sz w:val="22"/>
      <w:szCs w:val="22"/>
      <w:lang w:val="en-AU"/>
    </w:rPr>
  </w:style>
  <w:style w:type="table" w:styleId="TableGrid">
    <w:name w:val="Table Grid"/>
    <w:basedOn w:val="TableNormal"/>
    <w:uiPriority w:val="59"/>
    <w:rsid w:val="003A5299"/>
    <w:rPr>
      <w:rFonts w:ascii="Times New Roman" w:eastAsiaTheme="minorHAnsi" w:hAnsi="Times New Roman"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2BD3"/>
    <w:rPr>
      <w:color w:val="0000FF" w:themeColor="hyperlink"/>
      <w:u w:val="single"/>
    </w:rPr>
  </w:style>
  <w:style w:type="paragraph" w:customStyle="1" w:styleId="Normal3">
    <w:name w:val="Normal+3"/>
    <w:basedOn w:val="Normal"/>
    <w:next w:val="Normal"/>
    <w:uiPriority w:val="99"/>
    <w:rsid w:val="002C136B"/>
    <w:pPr>
      <w:autoSpaceDE w:val="0"/>
      <w:autoSpaceDN w:val="0"/>
      <w:adjustRightInd w:val="0"/>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671A3C"/>
    <w:rPr>
      <w:color w:val="800080" w:themeColor="followedHyperlink"/>
      <w:u w:val="single"/>
    </w:rPr>
  </w:style>
  <w:style w:type="paragraph" w:styleId="FootnoteText">
    <w:name w:val="footnote text"/>
    <w:basedOn w:val="Normal"/>
    <w:link w:val="FootnoteTextChar"/>
    <w:uiPriority w:val="99"/>
    <w:unhideWhenUsed/>
    <w:rsid w:val="002D1C3C"/>
  </w:style>
  <w:style w:type="character" w:customStyle="1" w:styleId="FootnoteTextChar">
    <w:name w:val="Footnote Text Char"/>
    <w:basedOn w:val="DefaultParagraphFont"/>
    <w:link w:val="FootnoteText"/>
    <w:uiPriority w:val="99"/>
    <w:rsid w:val="002D1C3C"/>
  </w:style>
  <w:style w:type="character" w:styleId="FootnoteReference">
    <w:name w:val="footnote reference"/>
    <w:basedOn w:val="DefaultParagraphFont"/>
    <w:uiPriority w:val="99"/>
    <w:unhideWhenUsed/>
    <w:rsid w:val="002D1C3C"/>
    <w:rPr>
      <w:vertAlign w:val="superscript"/>
    </w:rPr>
  </w:style>
  <w:style w:type="paragraph" w:styleId="Caption">
    <w:name w:val="caption"/>
    <w:basedOn w:val="Normal"/>
    <w:next w:val="Normal"/>
    <w:uiPriority w:val="35"/>
    <w:unhideWhenUsed/>
    <w:qFormat/>
    <w:rsid w:val="00B24FAE"/>
    <w:pPr>
      <w:spacing w:after="200"/>
    </w:pPr>
    <w:rPr>
      <w:rFonts w:eastAsiaTheme="minorHAnsi"/>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2D"/>
    <w:pPr>
      <w:ind w:left="720"/>
      <w:contextualSpacing/>
    </w:pPr>
  </w:style>
  <w:style w:type="paragraph" w:styleId="BalloonText">
    <w:name w:val="Balloon Text"/>
    <w:basedOn w:val="Normal"/>
    <w:link w:val="BalloonTextChar"/>
    <w:uiPriority w:val="99"/>
    <w:semiHidden/>
    <w:unhideWhenUsed/>
    <w:rsid w:val="00003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0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1B81"/>
    <w:rPr>
      <w:sz w:val="16"/>
      <w:szCs w:val="16"/>
    </w:rPr>
  </w:style>
  <w:style w:type="paragraph" w:styleId="CommentText">
    <w:name w:val="annotation text"/>
    <w:basedOn w:val="Normal"/>
    <w:link w:val="CommentTextChar"/>
    <w:uiPriority w:val="99"/>
    <w:semiHidden/>
    <w:unhideWhenUsed/>
    <w:rsid w:val="00071B81"/>
    <w:rPr>
      <w:sz w:val="20"/>
      <w:szCs w:val="20"/>
    </w:rPr>
  </w:style>
  <w:style w:type="character" w:customStyle="1" w:styleId="CommentTextChar">
    <w:name w:val="Comment Text Char"/>
    <w:basedOn w:val="DefaultParagraphFont"/>
    <w:link w:val="CommentText"/>
    <w:uiPriority w:val="99"/>
    <w:semiHidden/>
    <w:rsid w:val="00071B81"/>
    <w:rPr>
      <w:sz w:val="20"/>
      <w:szCs w:val="20"/>
    </w:rPr>
  </w:style>
  <w:style w:type="paragraph" w:styleId="CommentSubject">
    <w:name w:val="annotation subject"/>
    <w:basedOn w:val="CommentText"/>
    <w:next w:val="CommentText"/>
    <w:link w:val="CommentSubjectChar"/>
    <w:uiPriority w:val="99"/>
    <w:semiHidden/>
    <w:unhideWhenUsed/>
    <w:rsid w:val="00071B81"/>
    <w:rPr>
      <w:b/>
      <w:bCs/>
    </w:rPr>
  </w:style>
  <w:style w:type="character" w:customStyle="1" w:styleId="CommentSubjectChar">
    <w:name w:val="Comment Subject Char"/>
    <w:basedOn w:val="CommentTextChar"/>
    <w:link w:val="CommentSubject"/>
    <w:uiPriority w:val="99"/>
    <w:semiHidden/>
    <w:rsid w:val="00071B81"/>
    <w:rPr>
      <w:b/>
      <w:bCs/>
      <w:sz w:val="20"/>
      <w:szCs w:val="20"/>
    </w:rPr>
  </w:style>
  <w:style w:type="paragraph" w:styleId="NoSpacing">
    <w:name w:val="No Spacing"/>
    <w:uiPriority w:val="1"/>
    <w:qFormat/>
    <w:rsid w:val="003A5299"/>
    <w:rPr>
      <w:rFonts w:ascii="Times New Roman" w:eastAsiaTheme="minorHAnsi" w:hAnsi="Times New Roman" w:cs="Times New Roman"/>
      <w:sz w:val="22"/>
      <w:szCs w:val="22"/>
      <w:lang w:val="en-AU"/>
    </w:rPr>
  </w:style>
  <w:style w:type="table" w:styleId="TableGrid">
    <w:name w:val="Table Grid"/>
    <w:basedOn w:val="TableNormal"/>
    <w:uiPriority w:val="59"/>
    <w:rsid w:val="003A5299"/>
    <w:rPr>
      <w:rFonts w:ascii="Times New Roman" w:eastAsiaTheme="minorHAnsi" w:hAnsi="Times New Roman"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2BD3"/>
    <w:rPr>
      <w:color w:val="0000FF" w:themeColor="hyperlink"/>
      <w:u w:val="single"/>
    </w:rPr>
  </w:style>
  <w:style w:type="paragraph" w:customStyle="1" w:styleId="Normal3">
    <w:name w:val="Normal+3"/>
    <w:basedOn w:val="Normal"/>
    <w:next w:val="Normal"/>
    <w:uiPriority w:val="99"/>
    <w:rsid w:val="002C136B"/>
    <w:pPr>
      <w:autoSpaceDE w:val="0"/>
      <w:autoSpaceDN w:val="0"/>
      <w:adjustRightInd w:val="0"/>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671A3C"/>
    <w:rPr>
      <w:color w:val="800080" w:themeColor="followedHyperlink"/>
      <w:u w:val="single"/>
    </w:rPr>
  </w:style>
  <w:style w:type="paragraph" w:styleId="FootnoteText">
    <w:name w:val="footnote text"/>
    <w:basedOn w:val="Normal"/>
    <w:link w:val="FootnoteTextChar"/>
    <w:uiPriority w:val="99"/>
    <w:unhideWhenUsed/>
    <w:rsid w:val="002D1C3C"/>
  </w:style>
  <w:style w:type="character" w:customStyle="1" w:styleId="FootnoteTextChar">
    <w:name w:val="Footnote Text Char"/>
    <w:basedOn w:val="DefaultParagraphFont"/>
    <w:link w:val="FootnoteText"/>
    <w:uiPriority w:val="99"/>
    <w:rsid w:val="002D1C3C"/>
  </w:style>
  <w:style w:type="character" w:styleId="FootnoteReference">
    <w:name w:val="footnote reference"/>
    <w:basedOn w:val="DefaultParagraphFont"/>
    <w:uiPriority w:val="99"/>
    <w:unhideWhenUsed/>
    <w:rsid w:val="002D1C3C"/>
    <w:rPr>
      <w:vertAlign w:val="superscript"/>
    </w:rPr>
  </w:style>
  <w:style w:type="paragraph" w:styleId="Caption">
    <w:name w:val="caption"/>
    <w:basedOn w:val="Normal"/>
    <w:next w:val="Normal"/>
    <w:uiPriority w:val="35"/>
    <w:unhideWhenUsed/>
    <w:qFormat/>
    <w:rsid w:val="00B24FAE"/>
    <w:pPr>
      <w:spacing w:after="200"/>
    </w:pPr>
    <w:rPr>
      <w:rFonts w:eastAsiaTheme="minorHAns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39177">
      <w:bodyDiv w:val="1"/>
      <w:marLeft w:val="0"/>
      <w:marRight w:val="0"/>
      <w:marTop w:val="0"/>
      <w:marBottom w:val="0"/>
      <w:divBdr>
        <w:top w:val="none" w:sz="0" w:space="0" w:color="auto"/>
        <w:left w:val="none" w:sz="0" w:space="0" w:color="auto"/>
        <w:bottom w:val="none" w:sz="0" w:space="0" w:color="auto"/>
        <w:right w:val="none" w:sz="0" w:space="0" w:color="auto"/>
      </w:divBdr>
    </w:div>
    <w:div w:id="1385904627">
      <w:bodyDiv w:val="1"/>
      <w:marLeft w:val="0"/>
      <w:marRight w:val="0"/>
      <w:marTop w:val="0"/>
      <w:marBottom w:val="0"/>
      <w:divBdr>
        <w:top w:val="none" w:sz="0" w:space="0" w:color="auto"/>
        <w:left w:val="none" w:sz="0" w:space="0" w:color="auto"/>
        <w:bottom w:val="none" w:sz="0" w:space="0" w:color="auto"/>
        <w:right w:val="none" w:sz="0" w:space="0" w:color="auto"/>
      </w:divBdr>
    </w:div>
    <w:div w:id="1694257893">
      <w:bodyDiv w:val="1"/>
      <w:marLeft w:val="0"/>
      <w:marRight w:val="0"/>
      <w:marTop w:val="0"/>
      <w:marBottom w:val="0"/>
      <w:divBdr>
        <w:top w:val="none" w:sz="0" w:space="0" w:color="auto"/>
        <w:left w:val="none" w:sz="0" w:space="0" w:color="auto"/>
        <w:bottom w:val="none" w:sz="0" w:space="0" w:color="auto"/>
        <w:right w:val="none" w:sz="0" w:space="0" w:color="auto"/>
      </w:divBdr>
      <w:divsChild>
        <w:div w:id="587689207">
          <w:marLeft w:val="0"/>
          <w:marRight w:val="0"/>
          <w:marTop w:val="0"/>
          <w:marBottom w:val="0"/>
          <w:divBdr>
            <w:top w:val="none" w:sz="0" w:space="0" w:color="auto"/>
            <w:left w:val="none" w:sz="0" w:space="0" w:color="auto"/>
            <w:bottom w:val="none" w:sz="0" w:space="0" w:color="auto"/>
            <w:right w:val="none" w:sz="0" w:space="0" w:color="auto"/>
          </w:divBdr>
          <w:divsChild>
            <w:div w:id="20455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0988">
      <w:bodyDiv w:val="1"/>
      <w:marLeft w:val="0"/>
      <w:marRight w:val="0"/>
      <w:marTop w:val="0"/>
      <w:marBottom w:val="0"/>
      <w:divBdr>
        <w:top w:val="none" w:sz="0" w:space="0" w:color="auto"/>
        <w:left w:val="none" w:sz="0" w:space="0" w:color="auto"/>
        <w:bottom w:val="none" w:sz="0" w:space="0" w:color="auto"/>
        <w:right w:val="none" w:sz="0" w:space="0" w:color="auto"/>
      </w:divBdr>
      <w:divsChild>
        <w:div w:id="1048144883">
          <w:marLeft w:val="0"/>
          <w:marRight w:val="0"/>
          <w:marTop w:val="0"/>
          <w:marBottom w:val="0"/>
          <w:divBdr>
            <w:top w:val="none" w:sz="0" w:space="0" w:color="auto"/>
            <w:left w:val="none" w:sz="0" w:space="0" w:color="auto"/>
            <w:bottom w:val="none" w:sz="0" w:space="0" w:color="auto"/>
            <w:right w:val="none" w:sz="0" w:space="0" w:color="auto"/>
          </w:divBdr>
          <w:divsChild>
            <w:div w:id="10386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1680">
      <w:bodyDiv w:val="1"/>
      <w:marLeft w:val="0"/>
      <w:marRight w:val="0"/>
      <w:marTop w:val="0"/>
      <w:marBottom w:val="0"/>
      <w:divBdr>
        <w:top w:val="none" w:sz="0" w:space="0" w:color="auto"/>
        <w:left w:val="none" w:sz="0" w:space="0" w:color="auto"/>
        <w:bottom w:val="none" w:sz="0" w:space="0" w:color="auto"/>
        <w:right w:val="none" w:sz="0" w:space="0" w:color="auto"/>
      </w:divBdr>
      <w:divsChild>
        <w:div w:id="1966230799">
          <w:marLeft w:val="0"/>
          <w:marRight w:val="0"/>
          <w:marTop w:val="0"/>
          <w:marBottom w:val="0"/>
          <w:divBdr>
            <w:top w:val="none" w:sz="0" w:space="0" w:color="auto"/>
            <w:left w:val="none" w:sz="0" w:space="0" w:color="auto"/>
            <w:bottom w:val="none" w:sz="0" w:space="0" w:color="auto"/>
            <w:right w:val="none" w:sz="0" w:space="0" w:color="auto"/>
          </w:divBdr>
          <w:divsChild>
            <w:div w:id="21065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khavstad@nmsu.edu" TargetMode="External"/><Relationship Id="rId21" Type="http://schemas.openxmlformats.org/officeDocument/2006/relationships/hyperlink" Target="mailto:bohms@msu.edu" TargetMode="External"/><Relationship Id="rId22" Type="http://schemas.openxmlformats.org/officeDocument/2006/relationships/hyperlink" Target="mailto:Jude.maul@ars.usda.gov" TargetMode="External"/><Relationship Id="rId23" Type="http://schemas.openxmlformats.org/officeDocument/2006/relationships/hyperlink" Target="mailto:Michel.cavigelli@ars.usda.gov" TargetMode="External"/><Relationship Id="rId24" Type="http://schemas.openxmlformats.org/officeDocument/2006/relationships/hyperlink" Target="mailto:Jr.rigby@ars.usda.gov" TargetMode="External"/><Relationship Id="rId25" Type="http://schemas.openxmlformats.org/officeDocument/2006/relationships/hyperlink" Target="mailto:Mark.liebig@ars.usda.gov" TargetMode="External"/><Relationship Id="rId26" Type="http://schemas.openxmlformats.org/officeDocument/2006/relationships/hyperlink" Target="mailto:asuyker@unl.edu" TargetMode="External"/><Relationship Id="rId27" Type="http://schemas.openxmlformats.org/officeDocument/2006/relationships/hyperlink" Target="mailto:Dennis.wallin@ars.usda.gov" TargetMode="External"/><Relationship Id="rId28" Type="http://schemas.openxmlformats.org/officeDocument/2006/relationships/hyperlink" Target="mailto:Daren.harmel@ars.usda.gov" TargetMode="External"/><Relationship Id="rId29" Type="http://schemas.openxmlformats.org/officeDocument/2006/relationships/hyperlink" Target="mailto:Tom.moorman@ars.usda.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Abdullah.jaradat@ars.usda.gov" TargetMode="External"/><Relationship Id="rId31" Type="http://schemas.openxmlformats.org/officeDocument/2006/relationships/hyperlink" Target="mailto:Jason.wong@ars.usda.gov" TargetMode="External"/><Relationship Id="rId32" Type="http://schemas.openxmlformats.org/officeDocument/2006/relationships/hyperlink" Target="http://phenocam.sr.unh.edu/webcam/faq/" TargetMode="External"/><Relationship Id="rId9" Type="http://schemas.openxmlformats.org/officeDocument/2006/relationships/hyperlink" Target="http://phenocam.sr.unh.edu/webcam/faq/"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enocam.sr.unh.edu/webcam/" TargetMode="External"/><Relationship Id="rId33" Type="http://schemas.openxmlformats.org/officeDocument/2006/relationships/image" Target="media/image2.emf"/><Relationship Id="rId34" Type="http://schemas.openxmlformats.org/officeDocument/2006/relationships/hyperlink" Target="https://www.wmo.int/pages/prog/www/IMOP/CIMO-Guide.html" TargetMode="External"/><Relationship Id="rId35" Type="http://schemas.openxmlformats.org/officeDocument/2006/relationships/hyperlink" Target="https://www.wmo.int/pages/prog/www/IMOP/publications/CIMO-Guide/Ed2008Up2010/Part-III/WMO8_Ed2008_PartIII_Ch2_Up2010_en.pdf" TargetMode="External"/><Relationship Id="rId36" Type="http://schemas.openxmlformats.org/officeDocument/2006/relationships/fontTable" Target="fontTable.xml"/><Relationship Id="rId10" Type="http://schemas.openxmlformats.org/officeDocument/2006/relationships/hyperlink" Target="https://sites.google.com/site/phenocamdatalogger/fileexchange" TargetMode="External"/><Relationship Id="rId11" Type="http://schemas.openxmlformats.org/officeDocument/2006/relationships/image" Target="media/image1.emf"/><Relationship Id="rId12" Type="http://schemas.openxmlformats.org/officeDocument/2006/relationships/hyperlink" Target="mailto:kewing@archbold-station.org" TargetMode="External"/><Relationship Id="rId13" Type="http://schemas.openxmlformats.org/officeDocument/2006/relationships/hyperlink" Target="mailto:eboughton@archbold-station.org" TargetMode="External"/><Relationship Id="rId14" Type="http://schemas.openxmlformats.org/officeDocument/2006/relationships/hyperlink" Target="mailto:dhuggins@wsu.edu" TargetMode="External"/><Relationship Id="rId15" Type="http://schemas.openxmlformats.org/officeDocument/2006/relationships/hyperlink" Target="mailto:John.sadler@ars.usda.gov" TargetMode="External"/><Relationship Id="rId16" Type="http://schemas.openxmlformats.org/officeDocument/2006/relationships/hyperlink" Target="mailto:David.smith@ars.usda.gov" TargetMode="External"/><Relationship Id="rId17" Type="http://schemas.openxmlformats.org/officeDocument/2006/relationships/hyperlink" Target="mailto:Kevin.king@ars.usda.gov" TargetMode="External"/><Relationship Id="rId18" Type="http://schemas.openxmlformats.org/officeDocument/2006/relationships/hyperlink" Target="mailto:David.bosch@ars.usda.gov" TargetMode="External"/><Relationship Id="rId19" Type="http://schemas.openxmlformats.org/officeDocument/2006/relationships/hyperlink" Target="mailto:mark.seyfried@ars.usda.gov" TargetMode="External"/><Relationship Id="rId37" Type="http://schemas.openxmlformats.org/officeDocument/2006/relationships/theme" Target="theme/theme1.xml"/><Relationship Id="rId44" Type="http://schemas.microsoft.com/office/2011/relationships/people" Target="people.xml"/><Relationship Id="rId4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3923</Words>
  <Characters>22363</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26234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Goodrich</dc:creator>
  <cp:lastModifiedBy>Dave Goodrich</cp:lastModifiedBy>
  <cp:revision>2</cp:revision>
  <dcterms:created xsi:type="dcterms:W3CDTF">2015-07-12T04:14:00Z</dcterms:created>
  <dcterms:modified xsi:type="dcterms:W3CDTF">2015-07-12T04:14:00Z</dcterms:modified>
</cp:coreProperties>
</file>