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24DCCF9D" w:rsidR="006E1E20" w:rsidRDefault="00764E15" w:rsidP="00E63807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Local Foods, Healthy Kids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24DCCF9D" w:rsidR="006E1E20" w:rsidRDefault="00764E15" w:rsidP="00E63807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Local Foods, Healthy Kids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D3BDA57" w:rsidR="006E1E20" w:rsidRDefault="00FA76FF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7B246" wp14:editId="36538CC7">
                <wp:simplePos x="0" y="0"/>
                <wp:positionH relativeFrom="page">
                  <wp:posOffset>447675</wp:posOffset>
                </wp:positionH>
                <wp:positionV relativeFrom="paragraph">
                  <wp:posOffset>32385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65CD" id="Rectangle 38" o:spid="_x0000_s1026" style="position:absolute;margin-left:35.25pt;margin-top:2.5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" fillcolor="#0d3e6b" stroked="f">
                <w10:wrap anchorx="page"/>
              </v:rect>
            </w:pict>
          </mc:Fallback>
        </mc:AlternateContent>
      </w:r>
    </w:p>
    <w:p w14:paraId="5F1B23C2" w14:textId="59CA5A79" w:rsidR="7C788663" w:rsidRDefault="7C788663" w:rsidP="0024380D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52217B0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5: </w:t>
      </w:r>
      <w:r w:rsidR="00674264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Serving Local Foods and </w:t>
      </w:r>
      <w:r w:rsidR="00E6380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Family Engagement </w:t>
      </w:r>
      <w:r w:rsidRPr="52217B0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Agenda</w:t>
      </w:r>
    </w:p>
    <w:p w14:paraId="525E058C" w14:textId="5C5C1C9F" w:rsidR="28D86DD2" w:rsidRPr="00850D85" w:rsidRDefault="28D86DD2" w:rsidP="28D86DD2">
      <w:pPr>
        <w:rPr>
          <w:color w:val="000000" w:themeColor="text1"/>
          <w:sz w:val="2"/>
          <w:szCs w:val="2"/>
        </w:rPr>
      </w:pPr>
    </w:p>
    <w:p w14:paraId="2160E00F" w14:textId="0895A391" w:rsidR="7C788663" w:rsidRDefault="7C788663" w:rsidP="00F41559">
      <w:pPr>
        <w:pStyle w:val="ListParagraph"/>
        <w:ind w:left="187"/>
        <w:contextualSpacing/>
        <w:rPr>
          <w:color w:val="000000" w:themeColor="text1"/>
        </w:rPr>
      </w:pPr>
      <w:r w:rsidRPr="52217B02">
        <w:rPr>
          <w:color w:val="000000" w:themeColor="text1"/>
        </w:rPr>
        <w:t xml:space="preserve">The agenda below is based on the “Sections” included in Learning Session 5: </w:t>
      </w:r>
      <w:r w:rsidR="00674264">
        <w:rPr>
          <w:color w:val="000000" w:themeColor="text1"/>
        </w:rPr>
        <w:t xml:space="preserve">Serving Local Foods and </w:t>
      </w:r>
      <w:r w:rsidR="00BD0019">
        <w:rPr>
          <w:color w:val="000000" w:themeColor="text1"/>
        </w:rPr>
        <w:t>Family Engagement</w:t>
      </w:r>
      <w:r w:rsidRPr="52217B02">
        <w:rPr>
          <w:color w:val="000000" w:themeColor="text1"/>
        </w:rPr>
        <w:t>. The purpose of this Learning Session is to</w:t>
      </w:r>
      <w:r w:rsidR="00FC4F51">
        <w:rPr>
          <w:color w:val="000000" w:themeColor="text1"/>
        </w:rPr>
        <w:t xml:space="preserve"> check-in on progress made during Action Period 2, to</w:t>
      </w:r>
      <w:r w:rsidR="004A020E">
        <w:rPr>
          <w:color w:val="000000" w:themeColor="text1"/>
        </w:rPr>
        <w:t xml:space="preserve"> </w:t>
      </w:r>
      <w:r w:rsidR="00FC4F51">
        <w:rPr>
          <w:color w:val="000000" w:themeColor="text1"/>
        </w:rPr>
        <w:t xml:space="preserve">provide information and resources on </w:t>
      </w:r>
      <w:r w:rsidR="001270CD">
        <w:rPr>
          <w:color w:val="000000" w:themeColor="text1"/>
        </w:rPr>
        <w:t xml:space="preserve">ways to consider incorporating local foods into the full meal time environment, and to explore opportunities for </w:t>
      </w:r>
      <w:r w:rsidR="004A020E">
        <w:rPr>
          <w:color w:val="000000" w:themeColor="text1"/>
        </w:rPr>
        <w:t xml:space="preserve">family engagement </w:t>
      </w:r>
      <w:r w:rsidR="008E3C5E">
        <w:rPr>
          <w:color w:val="000000" w:themeColor="text1"/>
        </w:rPr>
        <w:t xml:space="preserve">in </w:t>
      </w:r>
      <w:r w:rsidR="001270CD">
        <w:rPr>
          <w:color w:val="000000" w:themeColor="text1"/>
        </w:rPr>
        <w:t>local food</w:t>
      </w:r>
      <w:r w:rsidR="008E3C5E">
        <w:rPr>
          <w:color w:val="000000" w:themeColor="text1"/>
        </w:rPr>
        <w:t xml:space="preserve"> activities</w:t>
      </w:r>
      <w:r w:rsidR="00786C9E">
        <w:rPr>
          <w:color w:val="000000" w:themeColor="text1"/>
        </w:rPr>
        <w:t xml:space="preserve">. </w:t>
      </w:r>
    </w:p>
    <w:p w14:paraId="5C816D6B" w14:textId="77777777" w:rsidR="00F41559" w:rsidRPr="00F41559" w:rsidRDefault="00F41559" w:rsidP="00F41559">
      <w:pPr>
        <w:pStyle w:val="ListParagraph"/>
        <w:ind w:left="187"/>
        <w:contextualSpacing/>
        <w:rPr>
          <w:color w:val="000000" w:themeColor="text1"/>
          <w:sz w:val="6"/>
          <w:szCs w:val="6"/>
        </w:rPr>
      </w:pPr>
    </w:p>
    <w:p w14:paraId="6FCF9235" w14:textId="3BAEF708" w:rsidR="7C788663" w:rsidRDefault="7C788663" w:rsidP="00F41559">
      <w:pPr>
        <w:pStyle w:val="ListParagraph"/>
        <w:ind w:left="180"/>
      </w:pPr>
      <w:r w:rsidRPr="52217B02">
        <w:rPr>
          <w:color w:val="000000" w:themeColor="text1"/>
        </w:rPr>
        <w:t>Objectives for this Learning Session are to:</w:t>
      </w:r>
    </w:p>
    <w:p w14:paraId="6D83C5CA" w14:textId="77777777" w:rsidR="001C2131" w:rsidRPr="001C2131" w:rsidRDefault="001C2131" w:rsidP="001C2131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1C2131">
        <w:rPr>
          <w:color w:val="000000" w:themeColor="text1"/>
        </w:rPr>
        <w:t>Check-in on Action Period 2 progress.</w:t>
      </w:r>
    </w:p>
    <w:p w14:paraId="45972CE8" w14:textId="77777777" w:rsidR="00580460" w:rsidRPr="00580460" w:rsidRDefault="00580460" w:rsidP="00580460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580460">
        <w:rPr>
          <w:color w:val="000000" w:themeColor="text1"/>
        </w:rPr>
        <w:t>Review approaches to serving Local Foods, including Family Style Dining.</w:t>
      </w:r>
    </w:p>
    <w:p w14:paraId="24763C09" w14:textId="53A28B82" w:rsidR="001C2131" w:rsidRDefault="00580460" w:rsidP="00580460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580460">
        <w:rPr>
          <w:color w:val="000000" w:themeColor="text1"/>
        </w:rPr>
        <w:t>Share Family Engagement ideas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8E3C5E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8E3C5E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8E3C5E">
        <w:tc>
          <w:tcPr>
            <w:tcW w:w="6990" w:type="dxa"/>
            <w:vAlign w:val="center"/>
          </w:tcPr>
          <w:p w14:paraId="558A41BE" w14:textId="26AC6E86" w:rsidR="00492D1A" w:rsidRPr="00492D1A" w:rsidRDefault="2AB42491" w:rsidP="52217B0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Check In</w:t>
            </w:r>
          </w:p>
          <w:p w14:paraId="53AE6A4C" w14:textId="18611ED1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2 Task Review</w:t>
            </w:r>
          </w:p>
          <w:p w14:paraId="23FC9B80" w14:textId="4767E314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TA Group Discussion (split into small groups when possible)</w:t>
            </w:r>
          </w:p>
        </w:tc>
        <w:tc>
          <w:tcPr>
            <w:tcW w:w="3868" w:type="dxa"/>
            <w:vAlign w:val="center"/>
          </w:tcPr>
          <w:p w14:paraId="2CE63E9D" w14:textId="77CE71F7" w:rsidR="00492D1A" w:rsidRPr="00492D1A" w:rsidRDefault="21A32759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</w:t>
            </w:r>
            <w:r w:rsidR="0038103F">
              <w:rPr>
                <w:sz w:val="18"/>
                <w:szCs w:val="18"/>
              </w:rPr>
              <w:t>0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7C2790D" w14:textId="45A39F4C" w:rsidR="32CD6D3C" w:rsidRDefault="00E615A9" w:rsidP="52217B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Serving Local Foods</w:t>
            </w:r>
          </w:p>
          <w:p w14:paraId="50F72BE9" w14:textId="06A02A02" w:rsidR="32CD6D3C" w:rsidRDefault="00BB7600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Creating a Positive Mealtime Environment</w:t>
            </w:r>
          </w:p>
          <w:p w14:paraId="5877AD5C" w14:textId="77777777" w:rsidR="32CD6D3C" w:rsidRDefault="00BB7600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Recommended Local Food Practices that Impact Mealtime Environments</w:t>
            </w:r>
          </w:p>
          <w:p w14:paraId="4D02C290" w14:textId="77777777" w:rsidR="00BB7600" w:rsidRDefault="008177EC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Meal Service Approaches</w:t>
            </w:r>
          </w:p>
          <w:p w14:paraId="21F1452A" w14:textId="77777777" w:rsidR="008177EC" w:rsidRDefault="008177EC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Local Food Conversation Starters</w:t>
            </w:r>
          </w:p>
          <w:p w14:paraId="45DF144B" w14:textId="6D8D1497" w:rsidR="008177EC" w:rsidRDefault="008177EC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Family Style Dining Resources</w:t>
            </w:r>
          </w:p>
        </w:tc>
        <w:tc>
          <w:tcPr>
            <w:tcW w:w="3868" w:type="dxa"/>
            <w:vAlign w:val="center"/>
          </w:tcPr>
          <w:p w14:paraId="6F7C4909" w14:textId="120AFD64" w:rsidR="32CD6D3C" w:rsidRDefault="24A2D8E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15</w:t>
            </w:r>
            <w:r w:rsidR="52C52A30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BC09BD4" w14:textId="1F0FC7DF" w:rsidR="5B97F86D" w:rsidRDefault="00870F5A" w:rsidP="52217B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Mindfulness</w:t>
            </w:r>
            <w:r w:rsidR="528CA2E4" w:rsidRPr="52217B02">
              <w:rPr>
                <w:color w:val="000000" w:themeColor="text1"/>
                <w:sz w:val="18"/>
                <w:szCs w:val="18"/>
              </w:rPr>
              <w:t xml:space="preserve"> Break</w:t>
            </w:r>
          </w:p>
        </w:tc>
        <w:tc>
          <w:tcPr>
            <w:tcW w:w="3868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59C3939D" w14:textId="468FB219" w:rsidR="51A6BB35" w:rsidRDefault="001C7150" w:rsidP="52217B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Family Engagement</w:t>
            </w:r>
          </w:p>
          <w:p w14:paraId="3769C3B2" w14:textId="2F159FEA" w:rsidR="003538C8" w:rsidRDefault="003538C8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Discussion Prompt: How have you engaged families in Farm to ECE? What has worked well? What barriers have you faced?</w:t>
            </w:r>
          </w:p>
          <w:p w14:paraId="32626DC2" w14:textId="06CB9F4F" w:rsidR="004F2875" w:rsidRDefault="003E32B6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Why Family Engagement?</w:t>
            </w:r>
          </w:p>
          <w:p w14:paraId="5C1E6AE8" w14:textId="6E285213" w:rsidR="51A6BB35" w:rsidRDefault="003E32B6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Meeting Families Where They Are</w:t>
            </w:r>
          </w:p>
          <w:p w14:paraId="0B54D70F" w14:textId="77777777" w:rsidR="003E32B6" w:rsidRDefault="003E32B6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Celebrate Local Foods in Cultures and Traditions</w:t>
            </w:r>
          </w:p>
          <w:p w14:paraId="48F2984B" w14:textId="245BA7CC" w:rsidR="003E32B6" w:rsidRDefault="00A467A6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Communicating with Families</w:t>
            </w:r>
          </w:p>
        </w:tc>
        <w:tc>
          <w:tcPr>
            <w:tcW w:w="3868" w:type="dxa"/>
            <w:vAlign w:val="center"/>
          </w:tcPr>
          <w:p w14:paraId="38B3A954" w14:textId="2EAE1C79" w:rsidR="1F5FF3FF" w:rsidRDefault="378E35EB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</w:t>
            </w:r>
            <w:r w:rsidR="0038103F">
              <w:rPr>
                <w:sz w:val="18"/>
                <w:szCs w:val="18"/>
              </w:rPr>
              <w:t>5</w:t>
            </w:r>
            <w:r w:rsidR="50490C61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7CF07F47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8C8B4AC" w14:textId="28EF9E0C" w:rsidR="51A6BB35" w:rsidRPr="00A467A6" w:rsidRDefault="62035CEB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 xml:space="preserve">Reflection: </w:t>
            </w:r>
            <w:r w:rsidR="00A467A6" w:rsidRPr="00A467A6">
              <w:rPr>
                <w:color w:val="000000" w:themeColor="text1"/>
                <w:sz w:val="18"/>
                <w:szCs w:val="18"/>
              </w:rPr>
              <w:t>What challenges are you facing with integrating local foods into your program right now?</w:t>
            </w:r>
          </w:p>
        </w:tc>
        <w:tc>
          <w:tcPr>
            <w:tcW w:w="3868" w:type="dxa"/>
            <w:vAlign w:val="center"/>
          </w:tcPr>
          <w:p w14:paraId="314418CF" w14:textId="5DFA9138" w:rsidR="56C56D3A" w:rsidRDefault="38574FDA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028D8077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6823A54C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1820EF4" w14:textId="2BBC3722" w:rsidR="51A6BB35" w:rsidRDefault="374C25B2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Reminders</w:t>
            </w:r>
          </w:p>
          <w:p w14:paraId="43E71029" w14:textId="67F99537" w:rsidR="51A6BB35" w:rsidRDefault="374C25B2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868" w:type="dxa"/>
            <w:vAlign w:val="center"/>
          </w:tcPr>
          <w:p w14:paraId="608DFA00" w14:textId="34C85651" w:rsidR="3593149E" w:rsidRDefault="04063C01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3</w:t>
            </w:r>
            <w:r w:rsidR="0545BFA3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008E3C5E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0C1C110B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23E93077" w:rsidR="00492D1A" w:rsidRPr="00492D1A" w:rsidRDefault="0038103F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00850D85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39DC3322"/>
    <w:lvl w:ilvl="0" w:tplc="04662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0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29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4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AC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E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D2A0FBCA"/>
    <w:lvl w:ilvl="0" w:tplc="23C8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CC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8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60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28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1B6B"/>
    <w:multiLevelType w:val="hybridMultilevel"/>
    <w:tmpl w:val="FFBEA86E"/>
    <w:lvl w:ilvl="0" w:tplc="1020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E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E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A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E7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A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0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0A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6557371">
    <w:abstractNumId w:val="1"/>
  </w:num>
  <w:num w:numId="2" w16cid:durableId="903488156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  <w:num w:numId="6" w16cid:durableId="113648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1270CD"/>
    <w:rsid w:val="001350F7"/>
    <w:rsid w:val="001C2131"/>
    <w:rsid w:val="001C7150"/>
    <w:rsid w:val="001E3778"/>
    <w:rsid w:val="001F5C2D"/>
    <w:rsid w:val="0024380D"/>
    <w:rsid w:val="002B44A3"/>
    <w:rsid w:val="002F32B7"/>
    <w:rsid w:val="002F3F7D"/>
    <w:rsid w:val="003538C8"/>
    <w:rsid w:val="00375B0F"/>
    <w:rsid w:val="0038103F"/>
    <w:rsid w:val="003E32B6"/>
    <w:rsid w:val="004073C2"/>
    <w:rsid w:val="00492D1A"/>
    <w:rsid w:val="004A020E"/>
    <w:rsid w:val="004C3498"/>
    <w:rsid w:val="004F2875"/>
    <w:rsid w:val="00580460"/>
    <w:rsid w:val="005B66DF"/>
    <w:rsid w:val="00674264"/>
    <w:rsid w:val="00691B3E"/>
    <w:rsid w:val="006E1E20"/>
    <w:rsid w:val="00764E15"/>
    <w:rsid w:val="00780B3C"/>
    <w:rsid w:val="00786C9E"/>
    <w:rsid w:val="007C4778"/>
    <w:rsid w:val="008177EC"/>
    <w:rsid w:val="00850D85"/>
    <w:rsid w:val="00870F5A"/>
    <w:rsid w:val="008E3C5E"/>
    <w:rsid w:val="00A27F51"/>
    <w:rsid w:val="00A467A6"/>
    <w:rsid w:val="00AB4F16"/>
    <w:rsid w:val="00AD43C1"/>
    <w:rsid w:val="00B41E0F"/>
    <w:rsid w:val="00B96C54"/>
    <w:rsid w:val="00BB7600"/>
    <w:rsid w:val="00BD0019"/>
    <w:rsid w:val="00C262B7"/>
    <w:rsid w:val="00E615A9"/>
    <w:rsid w:val="00E63807"/>
    <w:rsid w:val="00F41559"/>
    <w:rsid w:val="00F8314A"/>
    <w:rsid w:val="00FA76FF"/>
    <w:rsid w:val="00FC4F51"/>
    <w:rsid w:val="01C0DF09"/>
    <w:rsid w:val="021760D7"/>
    <w:rsid w:val="028D8077"/>
    <w:rsid w:val="04063C01"/>
    <w:rsid w:val="0545BFA3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6EBEDC5"/>
    <w:rsid w:val="18264D77"/>
    <w:rsid w:val="1BBE58AE"/>
    <w:rsid w:val="1CBCD852"/>
    <w:rsid w:val="1CD5B500"/>
    <w:rsid w:val="1D47E9D2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1FE51E"/>
    <w:rsid w:val="2A357569"/>
    <w:rsid w:val="2AB42491"/>
    <w:rsid w:val="2F566822"/>
    <w:rsid w:val="2FC11971"/>
    <w:rsid w:val="305F14F5"/>
    <w:rsid w:val="32CD6D3C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69F2408"/>
    <w:rsid w:val="56C56D3A"/>
    <w:rsid w:val="593FB335"/>
    <w:rsid w:val="59960F40"/>
    <w:rsid w:val="5A6E19E2"/>
    <w:rsid w:val="5B97F86D"/>
    <w:rsid w:val="5F9E5F30"/>
    <w:rsid w:val="6033F761"/>
    <w:rsid w:val="60D403EB"/>
    <w:rsid w:val="62035CEB"/>
    <w:rsid w:val="62F8936D"/>
    <w:rsid w:val="632BAC05"/>
    <w:rsid w:val="65FBD6F8"/>
    <w:rsid w:val="66D633FD"/>
    <w:rsid w:val="674E66C7"/>
    <w:rsid w:val="6C647351"/>
    <w:rsid w:val="6DC81B3E"/>
    <w:rsid w:val="6FA63EC0"/>
    <w:rsid w:val="70BFF445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31</cp:revision>
  <dcterms:created xsi:type="dcterms:W3CDTF">2024-07-08T16:44:00Z</dcterms:created>
  <dcterms:modified xsi:type="dcterms:W3CDTF">2024-07-10T17:52:00Z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