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6417" w14:textId="63F1D577" w:rsidR="00FF1BE2" w:rsidRPr="00E90B59" w:rsidRDefault="00FF1BE2" w:rsidP="56A80FAB">
      <w:pPr>
        <w:jc w:val="center"/>
        <w:rPr>
          <w:b/>
          <w:bCs/>
          <w:color w:val="585858"/>
          <w:sz w:val="14"/>
          <w:szCs w:val="14"/>
        </w:rPr>
      </w:pPr>
      <w:r w:rsidRPr="56A80FAB">
        <w:rPr>
          <w:b/>
          <w:bCs/>
          <w:color w:val="585858"/>
          <w:sz w:val="32"/>
          <w:szCs w:val="32"/>
        </w:rPr>
        <w:t>Assistant Maths Hub Lead</w:t>
      </w:r>
      <w:r w:rsidR="00E7343C" w:rsidRPr="56A80FAB">
        <w:rPr>
          <w:b/>
          <w:bCs/>
          <w:color w:val="585858"/>
          <w:sz w:val="32"/>
          <w:szCs w:val="32"/>
        </w:rPr>
        <w:t xml:space="preserve"> (Secondary)</w:t>
      </w:r>
      <w:r>
        <w:br/>
      </w:r>
      <w:r w:rsidRPr="56A80FAB">
        <w:rPr>
          <w:color w:val="585858"/>
          <w:sz w:val="28"/>
          <w:szCs w:val="28"/>
        </w:rPr>
        <w:t xml:space="preserve"> </w:t>
      </w:r>
      <w:r w:rsidR="005D43AF" w:rsidRPr="56A80FAB">
        <w:rPr>
          <w:color w:val="585858"/>
          <w:sz w:val="28"/>
          <w:szCs w:val="28"/>
        </w:rPr>
        <w:t>(</w:t>
      </w:r>
      <w:r w:rsidR="00D10D45" w:rsidRPr="56A80FAB">
        <w:rPr>
          <w:color w:val="585858"/>
          <w:sz w:val="28"/>
          <w:szCs w:val="28"/>
        </w:rPr>
        <w:t>1</w:t>
      </w:r>
      <w:r w:rsidR="0007406A">
        <w:rPr>
          <w:color w:val="585858"/>
          <w:sz w:val="28"/>
          <w:szCs w:val="28"/>
        </w:rPr>
        <w:t xml:space="preserve">/2 </w:t>
      </w:r>
      <w:r w:rsidR="00D10D45" w:rsidRPr="56A80FAB">
        <w:rPr>
          <w:color w:val="585858"/>
          <w:sz w:val="28"/>
          <w:szCs w:val="28"/>
        </w:rPr>
        <w:t>day per week -</w:t>
      </w:r>
      <w:r w:rsidR="00E7343C" w:rsidRPr="56A80FAB">
        <w:rPr>
          <w:color w:val="585858"/>
          <w:sz w:val="28"/>
          <w:szCs w:val="28"/>
        </w:rPr>
        <w:t xml:space="preserve"> </w:t>
      </w:r>
      <w:r w:rsidR="005D43AF" w:rsidRPr="56A80FAB">
        <w:rPr>
          <w:color w:val="585858"/>
          <w:sz w:val="28"/>
          <w:szCs w:val="28"/>
        </w:rPr>
        <w:t>fixed term</w:t>
      </w:r>
      <w:r w:rsidR="76B534B9" w:rsidRPr="56A80FAB">
        <w:rPr>
          <w:color w:val="585858"/>
          <w:sz w:val="28"/>
          <w:szCs w:val="28"/>
        </w:rPr>
        <w:t xml:space="preserve"> from </w:t>
      </w:r>
      <w:r w:rsidR="0007406A">
        <w:rPr>
          <w:color w:val="585858"/>
          <w:sz w:val="28"/>
          <w:szCs w:val="28"/>
        </w:rPr>
        <w:t>January 2022</w:t>
      </w:r>
      <w:r w:rsidR="005D43AF" w:rsidRPr="56A80FAB">
        <w:rPr>
          <w:color w:val="585858"/>
          <w:sz w:val="28"/>
          <w:szCs w:val="28"/>
        </w:rPr>
        <w:t xml:space="preserve"> until July 202</w:t>
      </w:r>
      <w:r w:rsidR="000F0C68" w:rsidRPr="56A80FAB">
        <w:rPr>
          <w:color w:val="585858"/>
          <w:sz w:val="28"/>
          <w:szCs w:val="28"/>
        </w:rPr>
        <w:t>2</w:t>
      </w:r>
      <w:r w:rsidR="007672B8">
        <w:rPr>
          <w:color w:val="585858"/>
          <w:sz w:val="28"/>
          <w:szCs w:val="28"/>
        </w:rPr>
        <w:t xml:space="preserve"> with the possibility of extension into future academic years</w:t>
      </w:r>
      <w:r w:rsidR="005D43AF" w:rsidRPr="56A80FAB">
        <w:rPr>
          <w:color w:val="585858"/>
          <w:sz w:val="28"/>
          <w:szCs w:val="28"/>
        </w:rPr>
        <w:t>)</w:t>
      </w:r>
      <w:r>
        <w:br/>
      </w:r>
    </w:p>
    <w:p w14:paraId="56B98D4F" w14:textId="41F8F206" w:rsidR="00FF1BE2" w:rsidRDefault="00FF1BE2" w:rsidP="00E115C1">
      <w:pPr>
        <w:spacing w:after="120"/>
        <w:jc w:val="both"/>
        <w:rPr>
          <w:rFonts w:cs="Arial"/>
          <w:color w:val="585858"/>
          <w:szCs w:val="22"/>
        </w:rPr>
      </w:pPr>
      <w:r w:rsidRPr="00FA0C73">
        <w:rPr>
          <w:rFonts w:cs="Arial"/>
          <w:color w:val="585858"/>
          <w:szCs w:val="22"/>
        </w:rPr>
        <w:t xml:space="preserve">The </w:t>
      </w:r>
      <w:r w:rsidR="00C3754D" w:rsidRPr="00FA0C73">
        <w:rPr>
          <w:rFonts w:cs="Arial"/>
          <w:color w:val="585858"/>
          <w:szCs w:val="22"/>
        </w:rPr>
        <w:t>Boolean</w:t>
      </w:r>
      <w:r w:rsidRPr="00FA0C73">
        <w:rPr>
          <w:rFonts w:cs="Arial"/>
          <w:color w:val="585858"/>
          <w:szCs w:val="22"/>
        </w:rPr>
        <w:t xml:space="preserve"> Maths Hub wants to extend and strengthen its</w:t>
      </w:r>
      <w:r w:rsidR="00C05280" w:rsidRPr="00FA0C73">
        <w:rPr>
          <w:rFonts w:cs="Arial"/>
          <w:color w:val="585858"/>
          <w:szCs w:val="22"/>
        </w:rPr>
        <w:t xml:space="preserve"> </w:t>
      </w:r>
      <w:r w:rsidR="00C47945" w:rsidRPr="00FA0C73">
        <w:rPr>
          <w:rFonts w:cs="Arial"/>
          <w:color w:val="585858"/>
          <w:szCs w:val="22"/>
        </w:rPr>
        <w:t xml:space="preserve">Leadership </w:t>
      </w:r>
      <w:r w:rsidR="003C11EF" w:rsidRPr="00FA0C73">
        <w:rPr>
          <w:rFonts w:cs="Arial"/>
          <w:color w:val="585858"/>
          <w:szCs w:val="22"/>
        </w:rPr>
        <w:t>T</w:t>
      </w:r>
      <w:r w:rsidR="00C47945" w:rsidRPr="00FA0C73">
        <w:rPr>
          <w:rFonts w:cs="Arial"/>
          <w:color w:val="585858"/>
          <w:szCs w:val="22"/>
        </w:rPr>
        <w:t xml:space="preserve">eam </w:t>
      </w:r>
      <w:r w:rsidR="00C05280" w:rsidRPr="00FA0C73">
        <w:rPr>
          <w:rFonts w:cs="Arial"/>
          <w:color w:val="585858"/>
          <w:szCs w:val="22"/>
        </w:rPr>
        <w:t xml:space="preserve">to </w:t>
      </w:r>
      <w:r w:rsidR="00DD0103" w:rsidRPr="00FA0C73">
        <w:rPr>
          <w:rFonts w:cs="Arial"/>
          <w:color w:val="585858"/>
          <w:szCs w:val="22"/>
        </w:rPr>
        <w:t xml:space="preserve">further </w:t>
      </w:r>
      <w:r w:rsidR="00C05280" w:rsidRPr="00FA0C73">
        <w:rPr>
          <w:rFonts w:cs="Arial"/>
          <w:color w:val="585858"/>
          <w:szCs w:val="22"/>
        </w:rPr>
        <w:t xml:space="preserve">support secondary </w:t>
      </w:r>
      <w:r w:rsidR="00C47945" w:rsidRPr="00FA0C73">
        <w:rPr>
          <w:rFonts w:cs="Arial"/>
          <w:color w:val="585858"/>
          <w:szCs w:val="22"/>
        </w:rPr>
        <w:t>schools</w:t>
      </w:r>
      <w:r w:rsidR="00DD0103" w:rsidRPr="00FA0C73">
        <w:rPr>
          <w:rFonts w:cs="Arial"/>
          <w:color w:val="585858"/>
          <w:szCs w:val="22"/>
        </w:rPr>
        <w:t xml:space="preserve"> and academies</w:t>
      </w:r>
      <w:r w:rsidR="00C47945" w:rsidRPr="00FA0C73">
        <w:rPr>
          <w:rFonts w:cs="Arial"/>
          <w:color w:val="585858"/>
          <w:szCs w:val="22"/>
        </w:rPr>
        <w:t xml:space="preserve"> across the region</w:t>
      </w:r>
      <w:r w:rsidRPr="00FA0C73">
        <w:rPr>
          <w:rFonts w:cs="Arial"/>
          <w:color w:val="585858"/>
          <w:szCs w:val="22"/>
        </w:rPr>
        <w:t xml:space="preserve">. </w:t>
      </w:r>
      <w:r w:rsidR="00DD0103" w:rsidRPr="00FA0C73">
        <w:rPr>
          <w:rFonts w:cs="Arial"/>
          <w:color w:val="585858"/>
          <w:szCs w:val="22"/>
        </w:rPr>
        <w:t xml:space="preserve"> </w:t>
      </w:r>
      <w:r w:rsidRPr="00FA0C73">
        <w:rPr>
          <w:rFonts w:cs="Arial"/>
          <w:color w:val="585858"/>
          <w:szCs w:val="22"/>
        </w:rPr>
        <w:t xml:space="preserve">We are therefore now seeking to recruit an </w:t>
      </w:r>
      <w:r w:rsidR="002B49BD" w:rsidRPr="00FA0C73">
        <w:rPr>
          <w:rFonts w:cs="Arial"/>
          <w:color w:val="585858"/>
          <w:szCs w:val="22"/>
        </w:rPr>
        <w:t xml:space="preserve">Assistant Maths Hub Lead (AMHL), </w:t>
      </w:r>
      <w:r w:rsidR="00C47945" w:rsidRPr="00FA0C73">
        <w:rPr>
          <w:rFonts w:cs="Arial"/>
          <w:b/>
          <w:color w:val="585858"/>
          <w:szCs w:val="22"/>
        </w:rPr>
        <w:t xml:space="preserve">who is based in a </w:t>
      </w:r>
      <w:r w:rsidR="00E7343C" w:rsidRPr="00FA0C73">
        <w:rPr>
          <w:rFonts w:cs="Arial"/>
          <w:b/>
          <w:color w:val="585858"/>
          <w:szCs w:val="22"/>
        </w:rPr>
        <w:t>secondary</w:t>
      </w:r>
      <w:r w:rsidR="002B49BD" w:rsidRPr="00FA0C73">
        <w:rPr>
          <w:rFonts w:cs="Arial"/>
          <w:b/>
          <w:color w:val="585858"/>
          <w:szCs w:val="22"/>
        </w:rPr>
        <w:t xml:space="preserve"> </w:t>
      </w:r>
      <w:r w:rsidR="00C47945" w:rsidRPr="00FA0C73">
        <w:rPr>
          <w:rFonts w:cs="Arial"/>
          <w:b/>
          <w:color w:val="585858"/>
          <w:szCs w:val="22"/>
        </w:rPr>
        <w:t>schoo</w:t>
      </w:r>
      <w:r w:rsidR="005D43AF" w:rsidRPr="00FA0C73">
        <w:rPr>
          <w:rFonts w:cs="Arial"/>
          <w:b/>
          <w:color w:val="585858"/>
          <w:szCs w:val="22"/>
        </w:rPr>
        <w:t>l</w:t>
      </w:r>
      <w:r w:rsidR="00C05280" w:rsidRPr="00FA0C73">
        <w:rPr>
          <w:rFonts w:cs="Arial"/>
          <w:b/>
          <w:color w:val="585858"/>
          <w:szCs w:val="22"/>
        </w:rPr>
        <w:t>,</w:t>
      </w:r>
      <w:r w:rsidR="009E4019" w:rsidRPr="00FA0C73">
        <w:rPr>
          <w:rFonts w:cs="Arial"/>
          <w:color w:val="585858"/>
          <w:szCs w:val="22"/>
        </w:rPr>
        <w:t xml:space="preserve"> t</w:t>
      </w:r>
      <w:r w:rsidRPr="00FA0C73">
        <w:rPr>
          <w:rFonts w:cs="Arial"/>
          <w:color w:val="585858"/>
          <w:szCs w:val="22"/>
        </w:rPr>
        <w:t xml:space="preserve">o </w:t>
      </w:r>
      <w:r w:rsidR="00B32053" w:rsidRPr="00FA0C73">
        <w:rPr>
          <w:rFonts w:cs="Arial"/>
          <w:color w:val="585858"/>
          <w:szCs w:val="22"/>
        </w:rPr>
        <w:t>work with</w:t>
      </w:r>
      <w:r w:rsidR="008B587F" w:rsidRPr="00FA0C73">
        <w:rPr>
          <w:rFonts w:cs="Arial"/>
          <w:color w:val="585858"/>
          <w:szCs w:val="22"/>
        </w:rPr>
        <w:t xml:space="preserve"> our established L</w:t>
      </w:r>
      <w:r w:rsidR="00E21FA7" w:rsidRPr="00FA0C73">
        <w:rPr>
          <w:rFonts w:cs="Arial"/>
          <w:color w:val="585858"/>
          <w:szCs w:val="22"/>
        </w:rPr>
        <w:t>eadership and Management T</w:t>
      </w:r>
      <w:r w:rsidRPr="00FA0C73">
        <w:rPr>
          <w:rFonts w:cs="Arial"/>
          <w:color w:val="585858"/>
          <w:szCs w:val="22"/>
        </w:rPr>
        <w:t>eam</w:t>
      </w:r>
      <w:r w:rsidR="00E21FA7" w:rsidRPr="00FA0C73">
        <w:rPr>
          <w:rFonts w:cs="Arial"/>
          <w:color w:val="585858"/>
          <w:szCs w:val="22"/>
        </w:rPr>
        <w:t xml:space="preserve"> (LMT)</w:t>
      </w:r>
      <w:r w:rsidRPr="00FA0C73">
        <w:rPr>
          <w:rFonts w:cs="Arial"/>
          <w:color w:val="585858"/>
          <w:szCs w:val="22"/>
        </w:rPr>
        <w:t xml:space="preserve"> </w:t>
      </w:r>
      <w:r w:rsidR="009E4019" w:rsidRPr="00FA0C73">
        <w:rPr>
          <w:rFonts w:cs="Arial"/>
          <w:color w:val="585858"/>
          <w:szCs w:val="22"/>
        </w:rPr>
        <w:t xml:space="preserve">commencing in </w:t>
      </w:r>
      <w:r w:rsidR="0007406A" w:rsidRPr="00FA0C73">
        <w:rPr>
          <w:rFonts w:cs="Arial"/>
          <w:color w:val="585858"/>
          <w:szCs w:val="22"/>
        </w:rPr>
        <w:t>January 2022</w:t>
      </w:r>
      <w:r w:rsidR="009E4019" w:rsidRPr="00FA0C73">
        <w:rPr>
          <w:rFonts w:cs="Arial"/>
          <w:color w:val="585858"/>
          <w:szCs w:val="22"/>
        </w:rPr>
        <w:t>.</w:t>
      </w:r>
    </w:p>
    <w:p w14:paraId="0669AB99" w14:textId="77777777" w:rsidR="009B186E" w:rsidRPr="00FA0C73" w:rsidRDefault="009B186E" w:rsidP="00E115C1">
      <w:pPr>
        <w:spacing w:after="120"/>
        <w:jc w:val="both"/>
        <w:rPr>
          <w:rFonts w:cs="Arial"/>
          <w:color w:val="585858"/>
          <w:szCs w:val="22"/>
        </w:rPr>
      </w:pPr>
      <w:bookmarkStart w:id="0" w:name="_GoBack"/>
      <w:bookmarkEnd w:id="0"/>
    </w:p>
    <w:p w14:paraId="3C092CAE" w14:textId="05F372A4" w:rsidR="00FF1BE2" w:rsidRDefault="00FF1BE2" w:rsidP="00E115C1">
      <w:pPr>
        <w:spacing w:after="0"/>
        <w:jc w:val="both"/>
        <w:rPr>
          <w:rFonts w:cs="Arial"/>
          <w:b/>
          <w:color w:val="585858"/>
          <w:sz w:val="24"/>
          <w:szCs w:val="22"/>
        </w:rPr>
      </w:pPr>
      <w:r w:rsidRPr="00FA0C73">
        <w:rPr>
          <w:rFonts w:cs="Arial"/>
          <w:b/>
          <w:color w:val="585858"/>
          <w:sz w:val="24"/>
          <w:szCs w:val="22"/>
        </w:rPr>
        <w:t>The role</w:t>
      </w:r>
    </w:p>
    <w:p w14:paraId="6781A4C3" w14:textId="77777777" w:rsidR="00B741E1" w:rsidRPr="00FA0C73" w:rsidRDefault="00B741E1" w:rsidP="00E115C1">
      <w:pPr>
        <w:spacing w:after="0"/>
        <w:jc w:val="both"/>
        <w:rPr>
          <w:rFonts w:cs="Arial"/>
          <w:b/>
          <w:color w:val="585858"/>
          <w:sz w:val="24"/>
          <w:szCs w:val="22"/>
        </w:rPr>
      </w:pPr>
    </w:p>
    <w:p w14:paraId="36098C5C" w14:textId="3D75300A" w:rsidR="00A05929" w:rsidRPr="00FA0C73" w:rsidRDefault="00FF1BE2" w:rsidP="56A80FAB">
      <w:pPr>
        <w:suppressAutoHyphens w:val="0"/>
        <w:autoSpaceDN/>
        <w:spacing w:after="0" w:line="264" w:lineRule="auto"/>
        <w:contextualSpacing/>
        <w:jc w:val="both"/>
        <w:textAlignment w:val="auto"/>
        <w:rPr>
          <w:rFonts w:cs="Arial"/>
          <w:color w:val="585858"/>
        </w:rPr>
      </w:pPr>
      <w:r w:rsidRPr="00FA0C73">
        <w:rPr>
          <w:rFonts w:cs="Arial"/>
          <w:color w:val="585858"/>
        </w:rPr>
        <w:t>The Assistant Maths Hub Lead will work</w:t>
      </w:r>
      <w:r w:rsidR="00D02F8D" w:rsidRPr="00FA0C73">
        <w:rPr>
          <w:rFonts w:cs="Arial"/>
          <w:color w:val="585858"/>
        </w:rPr>
        <w:t xml:space="preserve"> </w:t>
      </w:r>
      <w:r w:rsidRPr="00FA0C73">
        <w:rPr>
          <w:rFonts w:cs="Arial"/>
          <w:color w:val="585858"/>
        </w:rPr>
        <w:t xml:space="preserve">as part of the Maths Hub </w:t>
      </w:r>
      <w:r w:rsidR="005C7DE1" w:rsidRPr="00FA0C73">
        <w:rPr>
          <w:rFonts w:cs="Arial"/>
          <w:color w:val="585858"/>
        </w:rPr>
        <w:t>LMT</w:t>
      </w:r>
      <w:r w:rsidRPr="00FA0C73">
        <w:rPr>
          <w:rFonts w:cs="Arial"/>
          <w:color w:val="585858"/>
        </w:rPr>
        <w:t>,</w:t>
      </w:r>
      <w:r w:rsidR="00D10D45" w:rsidRPr="00FA0C73">
        <w:rPr>
          <w:rFonts w:cs="Arial"/>
          <w:color w:val="585858"/>
        </w:rPr>
        <w:t xml:space="preserve"> for </w:t>
      </w:r>
      <w:r w:rsidR="0007406A" w:rsidRPr="00FA0C73">
        <w:rPr>
          <w:rFonts w:cs="Arial"/>
          <w:color w:val="585858"/>
        </w:rPr>
        <w:t xml:space="preserve">½ </w:t>
      </w:r>
      <w:r w:rsidR="00D10D45" w:rsidRPr="00FA0C73">
        <w:rPr>
          <w:rFonts w:cs="Arial"/>
          <w:color w:val="585858"/>
        </w:rPr>
        <w:t>day per week</w:t>
      </w:r>
      <w:r w:rsidR="00DD0103" w:rsidRPr="00FA0C73">
        <w:rPr>
          <w:rFonts w:cs="Arial"/>
          <w:color w:val="585858"/>
        </w:rPr>
        <w:t xml:space="preserve"> or equivalent</w:t>
      </w:r>
      <w:r w:rsidR="50B9CB89" w:rsidRPr="00FA0C73">
        <w:rPr>
          <w:rFonts w:cs="Arial"/>
          <w:color w:val="585858"/>
        </w:rPr>
        <w:t>,</w:t>
      </w:r>
      <w:r w:rsidR="00DD0103" w:rsidRPr="00FA0C73">
        <w:rPr>
          <w:rFonts w:cs="Arial"/>
          <w:color w:val="585858"/>
        </w:rPr>
        <w:t xml:space="preserve"> term time only</w:t>
      </w:r>
      <w:r w:rsidR="00D10D45" w:rsidRPr="00FA0C73">
        <w:rPr>
          <w:rFonts w:cs="Arial"/>
          <w:color w:val="585858"/>
        </w:rPr>
        <w:t xml:space="preserve">.  </w:t>
      </w:r>
      <w:r w:rsidR="00A05929" w:rsidRPr="00FA0C73">
        <w:rPr>
          <w:rFonts w:cs="Arial"/>
          <w:color w:val="585858"/>
        </w:rPr>
        <w:t xml:space="preserve"> The AMHL will</w:t>
      </w:r>
      <w:r w:rsidR="00D02F8D" w:rsidRPr="00FA0C73">
        <w:rPr>
          <w:rFonts w:cs="Arial"/>
          <w:color w:val="585858"/>
        </w:rPr>
        <w:t xml:space="preserve"> </w:t>
      </w:r>
      <w:r w:rsidR="00DD0103" w:rsidRPr="00FA0C73">
        <w:rPr>
          <w:rFonts w:cs="Arial"/>
          <w:color w:val="585858"/>
        </w:rPr>
        <w:t>lead and coordinate elements of</w:t>
      </w:r>
      <w:r w:rsidR="00D10D45" w:rsidRPr="00FA0C73">
        <w:rPr>
          <w:rFonts w:cs="Arial"/>
          <w:color w:val="585858"/>
        </w:rPr>
        <w:t xml:space="preserve"> the programm</w:t>
      </w:r>
      <w:r w:rsidR="00704D4F" w:rsidRPr="00FA0C73">
        <w:rPr>
          <w:rFonts w:cs="Arial"/>
          <w:color w:val="585858"/>
        </w:rPr>
        <w:t>e</w:t>
      </w:r>
      <w:r w:rsidR="00D10D45" w:rsidRPr="00FA0C73">
        <w:rPr>
          <w:rFonts w:cs="Arial"/>
          <w:color w:val="585858"/>
        </w:rPr>
        <w:t xml:space="preserve"> </w:t>
      </w:r>
      <w:r w:rsidR="00C05280" w:rsidRPr="00FA0C73">
        <w:rPr>
          <w:rFonts w:cs="Arial"/>
          <w:color w:val="585858"/>
        </w:rPr>
        <w:t>linked to secondary leadership</w:t>
      </w:r>
      <w:r w:rsidR="00DD0103" w:rsidRPr="00FA0C73">
        <w:rPr>
          <w:rFonts w:cs="Arial"/>
          <w:color w:val="585858"/>
        </w:rPr>
        <w:t xml:space="preserve"> and teaching, be an active member of the Boolean LMT</w:t>
      </w:r>
      <w:r w:rsidR="00704D4F" w:rsidRPr="00FA0C73">
        <w:rPr>
          <w:rFonts w:cs="Arial"/>
          <w:color w:val="585858"/>
        </w:rPr>
        <w:t xml:space="preserve"> and the national Maths Hubs network.</w:t>
      </w:r>
    </w:p>
    <w:p w14:paraId="4E6F03A8" w14:textId="13EC1B10" w:rsidR="00D02F8D" w:rsidRPr="00FA0C73" w:rsidRDefault="00D02F8D" w:rsidP="00E115C1">
      <w:pPr>
        <w:suppressAutoHyphens w:val="0"/>
        <w:autoSpaceDN/>
        <w:spacing w:after="0" w:line="264" w:lineRule="auto"/>
        <w:contextualSpacing/>
        <w:jc w:val="both"/>
        <w:textAlignment w:val="auto"/>
        <w:rPr>
          <w:rFonts w:cs="Arial"/>
          <w:color w:val="585858"/>
          <w:szCs w:val="22"/>
        </w:rPr>
      </w:pPr>
    </w:p>
    <w:p w14:paraId="4954B121" w14:textId="29AF5043" w:rsidR="00D02F8D" w:rsidRPr="00FA0C73" w:rsidRDefault="00D02F8D" w:rsidP="56A80FAB">
      <w:pPr>
        <w:spacing w:after="120"/>
        <w:jc w:val="both"/>
        <w:rPr>
          <w:rFonts w:cs="Arial"/>
          <w:color w:val="585858"/>
        </w:rPr>
      </w:pPr>
      <w:r w:rsidRPr="00FA0C73">
        <w:rPr>
          <w:rFonts w:cs="Arial"/>
          <w:color w:val="585858"/>
        </w:rPr>
        <w:t>The AMHL’s school</w:t>
      </w:r>
      <w:r w:rsidR="00704D4F" w:rsidRPr="00FA0C73">
        <w:rPr>
          <w:rFonts w:cs="Arial"/>
          <w:color w:val="585858"/>
        </w:rPr>
        <w:t xml:space="preserve">/academy </w:t>
      </w:r>
      <w:r w:rsidRPr="00FA0C73">
        <w:rPr>
          <w:rFonts w:cs="Arial"/>
          <w:color w:val="585858"/>
        </w:rPr>
        <w:t xml:space="preserve">will receive a </w:t>
      </w:r>
      <w:r w:rsidR="5D6653B5" w:rsidRPr="00FA0C73">
        <w:rPr>
          <w:rFonts w:cs="Arial"/>
          <w:color w:val="585858"/>
        </w:rPr>
        <w:t xml:space="preserve">total </w:t>
      </w:r>
      <w:r w:rsidRPr="00FA0C73">
        <w:rPr>
          <w:rFonts w:cs="Arial"/>
          <w:color w:val="585858"/>
        </w:rPr>
        <w:t xml:space="preserve">grant of </w:t>
      </w:r>
      <w:r w:rsidR="007672B8" w:rsidRPr="00FA0C73">
        <w:rPr>
          <w:rFonts w:cs="Arial"/>
          <w:color w:val="585858"/>
        </w:rPr>
        <w:t>£3900</w:t>
      </w:r>
      <w:r w:rsidRPr="00FA0C73">
        <w:rPr>
          <w:rFonts w:cs="Arial"/>
          <w:color w:val="585858"/>
        </w:rPr>
        <w:t xml:space="preserve"> from the Maths Hub</w:t>
      </w:r>
      <w:r w:rsidR="54314552" w:rsidRPr="00FA0C73">
        <w:rPr>
          <w:rFonts w:cs="Arial"/>
          <w:color w:val="585858"/>
        </w:rPr>
        <w:t xml:space="preserve"> for completion of work</w:t>
      </w:r>
      <w:r w:rsidRPr="00FA0C73">
        <w:rPr>
          <w:rFonts w:cs="Arial"/>
          <w:color w:val="585858"/>
        </w:rPr>
        <w:t xml:space="preserve">.   </w:t>
      </w:r>
    </w:p>
    <w:p w14:paraId="6A6F1156" w14:textId="77777777" w:rsidR="009B186E" w:rsidRPr="00B741E1" w:rsidRDefault="009B186E" w:rsidP="00FA0C73">
      <w:pPr>
        <w:rPr>
          <w:rFonts w:eastAsia="Century Gothic" w:cs="Arial"/>
          <w:color w:val="585858"/>
          <w:sz w:val="6"/>
        </w:rPr>
      </w:pPr>
    </w:p>
    <w:p w14:paraId="7B624F19" w14:textId="3EC0183F" w:rsidR="00FA0C73" w:rsidRPr="00FA0C73" w:rsidRDefault="00FA0C73" w:rsidP="00FA0C73">
      <w:pPr>
        <w:rPr>
          <w:rFonts w:eastAsia="Century Gothic" w:cs="Arial"/>
          <w:color w:val="585858"/>
        </w:rPr>
      </w:pPr>
      <w:r w:rsidRPr="00FA0C73">
        <w:rPr>
          <w:rFonts w:eastAsia="Century Gothic" w:cs="Arial"/>
          <w:color w:val="585858"/>
        </w:rPr>
        <w:t xml:space="preserve">The AMHL would report directly to </w:t>
      </w:r>
      <w:r>
        <w:rPr>
          <w:rFonts w:eastAsia="Century Gothic" w:cs="Arial"/>
          <w:color w:val="585858"/>
        </w:rPr>
        <w:t>the Maths Hub Lead (MHL) and this</w:t>
      </w:r>
      <w:r w:rsidRPr="00FA0C73">
        <w:rPr>
          <w:rFonts w:eastAsia="Century Gothic" w:cs="Arial"/>
          <w:color w:val="585858"/>
        </w:rPr>
        <w:t xml:space="preserve"> </w:t>
      </w:r>
      <w:r w:rsidRPr="00FA0C73">
        <w:rPr>
          <w:rFonts w:eastAsia="Century Gothic" w:cs="Arial"/>
          <w:b/>
          <w:color w:val="585858"/>
        </w:rPr>
        <w:t>senior leadership role</w:t>
      </w:r>
      <w:r w:rsidRPr="00FA0C73">
        <w:rPr>
          <w:rFonts w:eastAsia="Century Gothic" w:cs="Arial"/>
          <w:color w:val="585858"/>
        </w:rPr>
        <w:t xml:space="preserve"> involves working closely with the Boolean Leadership and Management Team (LMT) and Local Leaders of Mathematics (LLME) to:</w:t>
      </w:r>
    </w:p>
    <w:p w14:paraId="0581695F" w14:textId="77777777" w:rsidR="00FA0C73" w:rsidRPr="00FA0C73" w:rsidRDefault="00FA0C73" w:rsidP="00FA0C73">
      <w:pPr>
        <w:pStyle w:val="ListParagraph"/>
        <w:numPr>
          <w:ilvl w:val="0"/>
          <w:numId w:val="18"/>
        </w:numPr>
        <w:suppressAutoHyphens w:val="0"/>
        <w:autoSpaceDN/>
        <w:spacing w:after="160" w:line="257" w:lineRule="auto"/>
        <w:contextualSpacing/>
        <w:textAlignment w:val="auto"/>
        <w:rPr>
          <w:rFonts w:cs="Arial"/>
          <w:color w:val="585858"/>
        </w:rPr>
      </w:pPr>
      <w:r w:rsidRPr="00FA0C73">
        <w:rPr>
          <w:rFonts w:eastAsia="Century Gothic" w:cs="Arial"/>
          <w:color w:val="585858"/>
        </w:rPr>
        <w:t>provide support and development to designated LLME;</w:t>
      </w:r>
    </w:p>
    <w:p w14:paraId="50B41B95" w14:textId="77777777" w:rsidR="00FA0C73" w:rsidRPr="00FA0C73" w:rsidRDefault="00FA0C73" w:rsidP="00FA0C73">
      <w:pPr>
        <w:pStyle w:val="ListParagraph"/>
        <w:numPr>
          <w:ilvl w:val="0"/>
          <w:numId w:val="18"/>
        </w:numPr>
        <w:suppressAutoHyphens w:val="0"/>
        <w:autoSpaceDN/>
        <w:spacing w:after="160" w:line="257" w:lineRule="auto"/>
        <w:contextualSpacing/>
        <w:textAlignment w:val="auto"/>
        <w:rPr>
          <w:rFonts w:eastAsiaTheme="minorEastAsia" w:cs="Arial"/>
          <w:color w:val="585858"/>
        </w:rPr>
      </w:pPr>
      <w:r w:rsidRPr="00FA0C73">
        <w:rPr>
          <w:rFonts w:eastAsia="Century Gothic" w:cs="Arial"/>
          <w:color w:val="585858"/>
        </w:rPr>
        <w:t>liaise with key systems leaders (e.g. teaching school hubs, LA Directors, Regional Delivery Directorate team) and also leaders from schools and colleges, or groups of schools (e.g. MATs) to increase participation in Secondary and other Work Groups;</w:t>
      </w:r>
    </w:p>
    <w:p w14:paraId="2892F434" w14:textId="77777777" w:rsidR="00FA0C73" w:rsidRPr="00FA0C73" w:rsidRDefault="00FA0C73" w:rsidP="00FA0C73">
      <w:pPr>
        <w:pStyle w:val="ListParagraph"/>
        <w:numPr>
          <w:ilvl w:val="0"/>
          <w:numId w:val="18"/>
        </w:numPr>
        <w:suppressAutoHyphens w:val="0"/>
        <w:autoSpaceDN/>
        <w:spacing w:after="160" w:line="257" w:lineRule="auto"/>
        <w:contextualSpacing/>
        <w:textAlignment w:val="auto"/>
        <w:rPr>
          <w:rFonts w:eastAsiaTheme="minorEastAsia" w:cs="Arial"/>
          <w:color w:val="595959" w:themeColor="text1" w:themeTint="A6"/>
        </w:rPr>
      </w:pPr>
      <w:r w:rsidRPr="00FA0C73">
        <w:rPr>
          <w:rFonts w:eastAsia="Century Gothic" w:cs="Arial"/>
          <w:color w:val="595959" w:themeColor="text1" w:themeTint="A6"/>
        </w:rPr>
        <w:t>lead/participate in the AMHL (Secondary) national fora to ensure a strategic approach to the prioritisation and selection of Secondary Work Groups according to local need linked to the strategic goals;</w:t>
      </w:r>
    </w:p>
    <w:p w14:paraId="28AF36E6" w14:textId="77777777"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85858"/>
        </w:rPr>
      </w:pPr>
      <w:r w:rsidRPr="00FA0C73">
        <w:rPr>
          <w:rFonts w:eastAsia="Century Gothic" w:cs="Arial"/>
          <w:color w:val="585858"/>
        </w:rPr>
        <w:t>provide support and development for Head Teachers and Heads of Maths in participant schools/academies and colleges;</w:t>
      </w:r>
    </w:p>
    <w:p w14:paraId="64D9DE62" w14:textId="794097ED"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95959" w:themeColor="text1" w:themeTint="A6"/>
        </w:rPr>
      </w:pPr>
      <w:r w:rsidRPr="00FA0C73">
        <w:rPr>
          <w:rFonts w:eastAsia="Century Gothic" w:cs="Arial"/>
          <w:color w:val="595959" w:themeColor="text1" w:themeTint="A6"/>
        </w:rPr>
        <w:t>be an active member of the Boolean Maths Hub LMT; which may include invitation to present to the Maths Hub Board, line managing LLME, overseeing evaluation and planning, and deputising for the Maths Hub Lead (MHL)</w:t>
      </w:r>
      <w:r>
        <w:rPr>
          <w:rFonts w:eastAsia="Century Gothic" w:cs="Arial"/>
          <w:color w:val="595959" w:themeColor="text1" w:themeTint="A6"/>
        </w:rPr>
        <w:t>;</w:t>
      </w:r>
    </w:p>
    <w:p w14:paraId="153544B9" w14:textId="77777777"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85858"/>
        </w:rPr>
      </w:pPr>
      <w:r w:rsidRPr="00FA0C73">
        <w:rPr>
          <w:rFonts w:eastAsia="Century Gothic" w:cs="Arial"/>
          <w:color w:val="585858"/>
        </w:rPr>
        <w:t>work with the LMT to recruit and select further Work Group Leads;</w:t>
      </w:r>
    </w:p>
    <w:p w14:paraId="379A2EFF" w14:textId="77777777"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85858"/>
        </w:rPr>
      </w:pPr>
      <w:r w:rsidRPr="00FA0C73">
        <w:rPr>
          <w:rFonts w:eastAsia="Century Gothic" w:cs="Arial"/>
          <w:color w:val="585858"/>
        </w:rPr>
        <w:t>market and recruit to other national and regional projects;</w:t>
      </w:r>
    </w:p>
    <w:p w14:paraId="3109B28C" w14:textId="77777777" w:rsidR="00FA0C73" w:rsidRPr="00FA0C73" w:rsidRDefault="00FA0C73" w:rsidP="00FA0C73">
      <w:pPr>
        <w:pStyle w:val="ListParagraph"/>
        <w:numPr>
          <w:ilvl w:val="0"/>
          <w:numId w:val="18"/>
        </w:numPr>
        <w:suppressAutoHyphens w:val="0"/>
        <w:autoSpaceDN/>
        <w:spacing w:after="160" w:line="264" w:lineRule="auto"/>
        <w:contextualSpacing/>
        <w:jc w:val="both"/>
        <w:textAlignment w:val="auto"/>
        <w:rPr>
          <w:rFonts w:eastAsiaTheme="minorEastAsia" w:cs="Arial"/>
          <w:color w:val="585858"/>
        </w:rPr>
      </w:pPr>
      <w:r w:rsidRPr="00FA0C73">
        <w:rPr>
          <w:rFonts w:eastAsia="Century Gothic" w:cs="Arial"/>
          <w:color w:val="585858"/>
        </w:rPr>
        <w:t>act as the public face of the Boolean Maths Hub and national Maths Hubs Programme, communicating and promoting the Maths Hub’s vision and ambition for maths teaching, maths teachers and the impact of hub work;</w:t>
      </w:r>
    </w:p>
    <w:p w14:paraId="5C136A64" w14:textId="1853ED0A"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85858"/>
        </w:rPr>
      </w:pPr>
      <w:proofErr w:type="gramStart"/>
      <w:r w:rsidRPr="00FA0C73">
        <w:rPr>
          <w:rFonts w:eastAsia="Century Gothic" w:cs="Arial"/>
          <w:color w:val="585858"/>
        </w:rPr>
        <w:t>liaise</w:t>
      </w:r>
      <w:proofErr w:type="gramEnd"/>
      <w:r w:rsidRPr="00FA0C73">
        <w:rPr>
          <w:rFonts w:eastAsia="Century Gothic" w:cs="Arial"/>
          <w:color w:val="585858"/>
        </w:rPr>
        <w:t xml:space="preserve"> with the Work Group Leads to ensure that they provide high quality Work Group plans, evaluations, and other summary reports of work completed for the Maths Hub.  Contribute to the Maths Hub annual evaluation rep</w:t>
      </w:r>
      <w:r>
        <w:rPr>
          <w:rFonts w:eastAsia="Century Gothic" w:cs="Arial"/>
          <w:color w:val="585858"/>
        </w:rPr>
        <w:t>ort (submission date Sept 2022);</w:t>
      </w:r>
    </w:p>
    <w:p w14:paraId="6FE56DBE" w14:textId="77777777"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95959" w:themeColor="text1" w:themeTint="A6"/>
        </w:rPr>
      </w:pPr>
      <w:r w:rsidRPr="00FA0C73">
        <w:rPr>
          <w:rFonts w:eastAsia="Century Gothic" w:cs="Arial"/>
          <w:color w:val="595959" w:themeColor="text1" w:themeTint="A6"/>
        </w:rPr>
        <w:t>be an ambassador for the already successful work of the Boolean Maths Hub;</w:t>
      </w:r>
    </w:p>
    <w:p w14:paraId="4FB0160C" w14:textId="59042082" w:rsidR="00FA0C73" w:rsidRPr="00FA0C73" w:rsidRDefault="00FA0C73" w:rsidP="00FA0C73">
      <w:pPr>
        <w:pStyle w:val="ListParagraph"/>
        <w:numPr>
          <w:ilvl w:val="0"/>
          <w:numId w:val="18"/>
        </w:numPr>
        <w:suppressAutoHyphens w:val="0"/>
        <w:autoSpaceDN/>
        <w:spacing w:after="160" w:line="257" w:lineRule="auto"/>
        <w:contextualSpacing/>
        <w:jc w:val="both"/>
        <w:textAlignment w:val="auto"/>
        <w:rPr>
          <w:rFonts w:eastAsiaTheme="minorEastAsia" w:cs="Arial"/>
          <w:color w:val="595959" w:themeColor="text1" w:themeTint="A6"/>
        </w:rPr>
      </w:pPr>
      <w:r w:rsidRPr="00FA0C73">
        <w:rPr>
          <w:rFonts w:eastAsia="Century Gothic" w:cs="Arial"/>
          <w:color w:val="595959" w:themeColor="text1" w:themeTint="A6"/>
        </w:rPr>
        <w:t>attend and actively part</w:t>
      </w:r>
      <w:r w:rsidR="00B8704F">
        <w:rPr>
          <w:rFonts w:eastAsia="Century Gothic" w:cs="Arial"/>
          <w:color w:val="595959" w:themeColor="text1" w:themeTint="A6"/>
        </w:rPr>
        <w:t>icipating in the LLME community;</w:t>
      </w:r>
    </w:p>
    <w:p w14:paraId="3799B032" w14:textId="77777777" w:rsidR="00FA0C73" w:rsidRPr="00FA0C73" w:rsidRDefault="00FA0C73" w:rsidP="56A80FAB">
      <w:pPr>
        <w:jc w:val="both"/>
        <w:rPr>
          <w:rFonts w:cs="Arial"/>
          <w:color w:val="585858"/>
        </w:rPr>
      </w:pPr>
    </w:p>
    <w:p w14:paraId="52347C6F" w14:textId="4C320FEC" w:rsidR="00734C99" w:rsidRPr="00FA0C73" w:rsidRDefault="00734C99" w:rsidP="56A80FAB">
      <w:pPr>
        <w:jc w:val="both"/>
        <w:rPr>
          <w:rFonts w:eastAsia="Arial" w:cs="Arial"/>
          <w:color w:val="000000" w:themeColor="text1"/>
          <w:sz w:val="21"/>
          <w:szCs w:val="21"/>
        </w:rPr>
      </w:pPr>
      <w:r w:rsidRPr="00FA0C73">
        <w:rPr>
          <w:rFonts w:cs="Arial"/>
          <w:color w:val="585858"/>
        </w:rPr>
        <w:t>The Boolean Maths Hub is committed to championing equity, and improving outcomes for all children and young people in mathematics.  We achieve this through our inclusive collaborative community of local and national leaders of maths education.  In recruiting for our team, we welcome the unique contributions that colleagues can bring to our shared vision.</w:t>
      </w:r>
    </w:p>
    <w:p w14:paraId="02266FFA" w14:textId="77777777" w:rsidR="000B1DCC" w:rsidRPr="00FA0C73" w:rsidRDefault="000B1DCC" w:rsidP="00FF1BE2">
      <w:pPr>
        <w:suppressAutoHyphens w:val="0"/>
        <w:autoSpaceDN/>
        <w:spacing w:after="0" w:line="264" w:lineRule="auto"/>
        <w:contextualSpacing/>
        <w:textAlignment w:val="auto"/>
        <w:rPr>
          <w:rFonts w:cs="Arial"/>
          <w:color w:val="585858"/>
          <w:szCs w:val="22"/>
        </w:rPr>
      </w:pPr>
    </w:p>
    <w:p w14:paraId="04A6F93A" w14:textId="739ACCF7" w:rsidR="00784CF3" w:rsidRDefault="004738B9" w:rsidP="00E115C1">
      <w:pPr>
        <w:spacing w:after="0"/>
        <w:jc w:val="both"/>
        <w:rPr>
          <w:rFonts w:cs="Arial"/>
          <w:b/>
          <w:color w:val="585858"/>
          <w:szCs w:val="22"/>
        </w:rPr>
      </w:pPr>
      <w:r w:rsidRPr="00FA0C73">
        <w:rPr>
          <w:rFonts w:cs="Arial"/>
          <w:b/>
          <w:color w:val="585858"/>
          <w:szCs w:val="22"/>
        </w:rPr>
        <w:t>Criteria for applicants</w:t>
      </w:r>
    </w:p>
    <w:p w14:paraId="14B610CD" w14:textId="77777777" w:rsidR="00B741E1" w:rsidRPr="00FA0C73" w:rsidRDefault="00B741E1" w:rsidP="00E115C1">
      <w:pPr>
        <w:spacing w:after="0"/>
        <w:jc w:val="both"/>
        <w:rPr>
          <w:rFonts w:cs="Arial"/>
          <w:b/>
          <w:color w:val="585858"/>
          <w:szCs w:val="22"/>
        </w:rPr>
      </w:pPr>
    </w:p>
    <w:p w14:paraId="27D16016" w14:textId="7A54E9C7" w:rsidR="004738B9" w:rsidRPr="00FA0C73" w:rsidRDefault="004738B9" w:rsidP="00E115C1">
      <w:pPr>
        <w:spacing w:after="0"/>
        <w:jc w:val="both"/>
        <w:rPr>
          <w:rFonts w:cs="Arial"/>
          <w:color w:val="585858"/>
          <w:szCs w:val="22"/>
        </w:rPr>
      </w:pPr>
      <w:r w:rsidRPr="00FA0C73">
        <w:rPr>
          <w:rFonts w:cs="Arial"/>
          <w:color w:val="585858"/>
          <w:szCs w:val="22"/>
        </w:rPr>
        <w:t xml:space="preserve">The criteria for </w:t>
      </w:r>
      <w:r w:rsidR="00F60E7F" w:rsidRPr="00FA0C73">
        <w:rPr>
          <w:rFonts w:cs="Arial"/>
          <w:color w:val="585858"/>
          <w:szCs w:val="22"/>
        </w:rPr>
        <w:t xml:space="preserve">applicants </w:t>
      </w:r>
      <w:r w:rsidR="005A041C" w:rsidRPr="00FA0C73">
        <w:rPr>
          <w:rFonts w:cs="Arial"/>
          <w:color w:val="585858"/>
          <w:szCs w:val="22"/>
        </w:rPr>
        <w:t>are</w:t>
      </w:r>
      <w:r w:rsidR="00F60E7F" w:rsidRPr="00FA0C73">
        <w:rPr>
          <w:rFonts w:cs="Arial"/>
          <w:color w:val="585858"/>
          <w:szCs w:val="22"/>
        </w:rPr>
        <w:t xml:space="preserve"> that they</w:t>
      </w:r>
      <w:r w:rsidRPr="00FA0C73">
        <w:rPr>
          <w:rFonts w:cs="Arial"/>
          <w:color w:val="585858"/>
          <w:szCs w:val="22"/>
        </w:rPr>
        <w:t xml:space="preserve"> should:</w:t>
      </w:r>
    </w:p>
    <w:p w14:paraId="26996331" w14:textId="504DFEF2" w:rsidR="00CA7C60" w:rsidRPr="00FA0C73" w:rsidRDefault="00CA7C60" w:rsidP="00E115C1">
      <w:pPr>
        <w:spacing w:after="0"/>
        <w:jc w:val="both"/>
        <w:rPr>
          <w:rFonts w:cs="Arial"/>
          <w:color w:val="585858"/>
          <w:szCs w:val="22"/>
        </w:rPr>
      </w:pPr>
    </w:p>
    <w:p w14:paraId="066FD6C3" w14:textId="6393A8B8" w:rsidR="00CA7C60" w:rsidRPr="00FA0C73" w:rsidRDefault="00784CF3" w:rsidP="56A80FAB">
      <w:pPr>
        <w:spacing w:after="0"/>
        <w:jc w:val="both"/>
        <w:rPr>
          <w:rFonts w:cs="Arial"/>
          <w:color w:val="585858"/>
          <w:szCs w:val="22"/>
        </w:rPr>
      </w:pPr>
      <w:r w:rsidRPr="00FA0C73">
        <w:rPr>
          <w:rFonts w:cs="Arial"/>
          <w:color w:val="585858"/>
        </w:rPr>
        <w:t>Essential</w:t>
      </w:r>
    </w:p>
    <w:p w14:paraId="1FEA79DE" w14:textId="09FDE9E4" w:rsidR="00CA7C60" w:rsidRPr="00FA0C73" w:rsidRDefault="00CA7C60" w:rsidP="56A80FAB">
      <w:pPr>
        <w:pStyle w:val="ListParagraph"/>
        <w:numPr>
          <w:ilvl w:val="0"/>
          <w:numId w:val="15"/>
        </w:numPr>
        <w:spacing w:after="0"/>
        <w:jc w:val="both"/>
        <w:rPr>
          <w:rFonts w:eastAsia="Arial" w:cs="Arial"/>
          <w:color w:val="585858"/>
          <w:szCs w:val="22"/>
        </w:rPr>
      </w:pPr>
      <w:r w:rsidRPr="00FA0C73">
        <w:rPr>
          <w:rFonts w:cs="Arial"/>
          <w:color w:val="585858"/>
        </w:rPr>
        <w:t xml:space="preserve">be </w:t>
      </w:r>
      <w:r w:rsidR="00784CF3" w:rsidRPr="00FA0C73">
        <w:rPr>
          <w:rFonts w:cs="Arial"/>
          <w:color w:val="585858"/>
        </w:rPr>
        <w:t xml:space="preserve">an experienced teacher (with QTS) </w:t>
      </w:r>
      <w:r w:rsidR="002B49BD" w:rsidRPr="00FA0C73">
        <w:rPr>
          <w:rFonts w:cs="Arial"/>
          <w:color w:val="585858"/>
        </w:rPr>
        <w:t xml:space="preserve">based in a </w:t>
      </w:r>
      <w:r w:rsidR="00B053B7" w:rsidRPr="00FA0C73">
        <w:rPr>
          <w:rFonts w:cs="Arial"/>
          <w:color w:val="585858"/>
        </w:rPr>
        <w:t xml:space="preserve">secondary </w:t>
      </w:r>
      <w:r w:rsidR="002B49BD" w:rsidRPr="00FA0C73">
        <w:rPr>
          <w:rFonts w:cs="Arial"/>
          <w:color w:val="585858"/>
        </w:rPr>
        <w:t xml:space="preserve">school </w:t>
      </w:r>
      <w:r w:rsidR="00784CF3" w:rsidRPr="00FA0C73">
        <w:rPr>
          <w:rFonts w:cs="Arial"/>
          <w:color w:val="585858"/>
        </w:rPr>
        <w:t>with responsibility for a key area (Head of Department,</w:t>
      </w:r>
      <w:r w:rsidR="00FA0C73" w:rsidRPr="00FA0C73">
        <w:rPr>
          <w:rFonts w:cs="Arial"/>
          <w:color w:val="585858"/>
        </w:rPr>
        <w:t xml:space="preserve"> S</w:t>
      </w:r>
      <w:r w:rsidR="00885777" w:rsidRPr="00FA0C73">
        <w:rPr>
          <w:rFonts w:cs="Arial"/>
          <w:color w:val="585858"/>
        </w:rPr>
        <w:t>econd in Department,</w:t>
      </w:r>
      <w:r w:rsidR="00FA0C73" w:rsidRPr="00FA0C73">
        <w:rPr>
          <w:rFonts w:cs="Arial"/>
          <w:color w:val="585858"/>
        </w:rPr>
        <w:t xml:space="preserve"> Lead Practitioner</w:t>
      </w:r>
      <w:r w:rsidR="00784CF3" w:rsidRPr="00FA0C73">
        <w:rPr>
          <w:rFonts w:cs="Arial"/>
          <w:color w:val="585858"/>
        </w:rPr>
        <w:t xml:space="preserve"> etc)</w:t>
      </w:r>
      <w:r w:rsidR="00CB228A" w:rsidRPr="00FA0C73">
        <w:rPr>
          <w:rFonts w:cs="Arial"/>
          <w:color w:val="585858"/>
        </w:rPr>
        <w:t>;</w:t>
      </w:r>
    </w:p>
    <w:p w14:paraId="7C4D0D1E" w14:textId="15DA82FD" w:rsidR="00784CF3" w:rsidRPr="00FA0C73" w:rsidRDefault="00F60E7F" w:rsidP="004A6B94">
      <w:pPr>
        <w:pStyle w:val="ListParagraph"/>
        <w:numPr>
          <w:ilvl w:val="0"/>
          <w:numId w:val="15"/>
        </w:numPr>
        <w:spacing w:after="120"/>
        <w:ind w:left="357" w:hanging="357"/>
        <w:rPr>
          <w:rFonts w:cs="Arial"/>
          <w:color w:val="585858"/>
          <w:szCs w:val="22"/>
        </w:rPr>
      </w:pPr>
      <w:r w:rsidRPr="00FA0C73">
        <w:rPr>
          <w:rFonts w:cs="Arial"/>
          <w:color w:val="585858"/>
          <w:szCs w:val="22"/>
        </w:rPr>
        <w:t xml:space="preserve">be a successful and experienced leader with good understanding </w:t>
      </w:r>
      <w:r w:rsidR="002B49BD" w:rsidRPr="00FA0C73">
        <w:rPr>
          <w:rFonts w:cs="Arial"/>
          <w:color w:val="585858"/>
          <w:szCs w:val="22"/>
        </w:rPr>
        <w:t>of the challenges faced</w:t>
      </w:r>
      <w:r w:rsidRPr="00FA0C73">
        <w:rPr>
          <w:rFonts w:cs="Arial"/>
          <w:color w:val="585858"/>
          <w:szCs w:val="22"/>
        </w:rPr>
        <w:t xml:space="preserve"> by both school and subject leaders</w:t>
      </w:r>
      <w:r w:rsidR="00E732EF" w:rsidRPr="00FA0C73">
        <w:rPr>
          <w:rFonts w:cs="Arial"/>
          <w:color w:val="585858"/>
          <w:szCs w:val="22"/>
        </w:rPr>
        <w:t>;</w:t>
      </w:r>
    </w:p>
    <w:p w14:paraId="525F2591" w14:textId="002DD31A" w:rsidR="00D747C7" w:rsidRPr="00B8704F" w:rsidRDefault="00784CF3" w:rsidP="004A6B94">
      <w:pPr>
        <w:pStyle w:val="ListParagraph"/>
        <w:numPr>
          <w:ilvl w:val="0"/>
          <w:numId w:val="15"/>
        </w:numPr>
        <w:spacing w:after="120"/>
        <w:ind w:left="357" w:hanging="357"/>
        <w:rPr>
          <w:rFonts w:cs="Arial"/>
          <w:color w:val="585858"/>
          <w:szCs w:val="22"/>
        </w:rPr>
      </w:pPr>
      <w:r w:rsidRPr="00B8704F">
        <w:rPr>
          <w:rFonts w:cs="Arial"/>
          <w:color w:val="585858"/>
          <w:szCs w:val="22"/>
        </w:rPr>
        <w:t>have a strong awareness of the challenges of developing mathematics teaching</w:t>
      </w:r>
      <w:r w:rsidR="00FA0C73" w:rsidRPr="00B8704F">
        <w:rPr>
          <w:rFonts w:cs="Arial"/>
          <w:color w:val="585858"/>
          <w:szCs w:val="22"/>
        </w:rPr>
        <w:t>, recognising the differing needs and priorities of schools across the region</w:t>
      </w:r>
      <w:r w:rsidR="00E115C1" w:rsidRPr="00B8704F">
        <w:rPr>
          <w:rFonts w:cs="Arial"/>
          <w:color w:val="585858"/>
          <w:szCs w:val="22"/>
        </w:rPr>
        <w:t>;</w:t>
      </w:r>
    </w:p>
    <w:p w14:paraId="0BA9E816" w14:textId="38B450ED" w:rsidR="00CA7C60" w:rsidRPr="00B8704F" w:rsidRDefault="00784CF3" w:rsidP="004A6B94">
      <w:pPr>
        <w:pStyle w:val="ListParagraph"/>
        <w:numPr>
          <w:ilvl w:val="0"/>
          <w:numId w:val="15"/>
        </w:numPr>
        <w:spacing w:after="120"/>
        <w:ind w:left="357" w:hanging="357"/>
        <w:rPr>
          <w:rFonts w:cs="Arial"/>
          <w:color w:val="585858"/>
          <w:szCs w:val="22"/>
        </w:rPr>
      </w:pPr>
      <w:r w:rsidRPr="00B8704F">
        <w:rPr>
          <w:rFonts w:cs="Arial"/>
          <w:color w:val="585858"/>
          <w:szCs w:val="22"/>
        </w:rPr>
        <w:t>be supportive</w:t>
      </w:r>
      <w:r w:rsidR="00D747C7" w:rsidRPr="00B8704F">
        <w:rPr>
          <w:rFonts w:cs="Arial"/>
          <w:color w:val="585858"/>
          <w:szCs w:val="22"/>
        </w:rPr>
        <w:t xml:space="preserve"> and knowledgeable</w:t>
      </w:r>
      <w:r w:rsidRPr="00B8704F">
        <w:rPr>
          <w:rFonts w:cs="Arial"/>
          <w:color w:val="585858"/>
          <w:szCs w:val="22"/>
        </w:rPr>
        <w:t xml:space="preserve"> of the Maths Hub’s work</w:t>
      </w:r>
      <w:r w:rsidR="00FA0C73" w:rsidRPr="00B8704F">
        <w:rPr>
          <w:rFonts w:cs="Arial"/>
          <w:color w:val="585858"/>
          <w:szCs w:val="22"/>
        </w:rPr>
        <w:t>, sharing the belief that all children and young people can and will achieve in mathematics</w:t>
      </w:r>
      <w:r w:rsidR="00B8704F" w:rsidRPr="00B8704F">
        <w:rPr>
          <w:rFonts w:cs="Arial"/>
          <w:color w:val="585858"/>
          <w:szCs w:val="22"/>
        </w:rPr>
        <w:t>;</w:t>
      </w:r>
    </w:p>
    <w:p w14:paraId="52785BB4" w14:textId="04E7D0C6" w:rsidR="0007406A" w:rsidRPr="00B8704F" w:rsidRDefault="0007406A" w:rsidP="004A6B94">
      <w:pPr>
        <w:pStyle w:val="ListParagraph"/>
        <w:numPr>
          <w:ilvl w:val="0"/>
          <w:numId w:val="15"/>
        </w:numPr>
        <w:spacing w:after="120"/>
        <w:ind w:left="357" w:hanging="357"/>
        <w:rPr>
          <w:rFonts w:cs="Arial"/>
          <w:color w:val="585858"/>
          <w:szCs w:val="22"/>
        </w:rPr>
      </w:pPr>
      <w:r w:rsidRPr="00B8704F">
        <w:rPr>
          <w:rFonts w:cs="Arial"/>
          <w:color w:val="585858"/>
          <w:szCs w:val="22"/>
        </w:rPr>
        <w:t xml:space="preserve">understanding of the principles of teaching for mastery and how this can improve pupils’ learning </w:t>
      </w:r>
      <w:r w:rsidR="00B8704F" w:rsidRPr="00B8704F">
        <w:rPr>
          <w:rFonts w:cs="Arial"/>
          <w:color w:val="585858"/>
          <w:szCs w:val="22"/>
        </w:rPr>
        <w:t>in maths;</w:t>
      </w:r>
    </w:p>
    <w:p w14:paraId="1279DB72" w14:textId="4C40E404" w:rsidR="00FA0C73" w:rsidRPr="00B8704F" w:rsidRDefault="00FA0C73" w:rsidP="004A6B94">
      <w:pPr>
        <w:pStyle w:val="ListParagraph"/>
        <w:numPr>
          <w:ilvl w:val="0"/>
          <w:numId w:val="15"/>
        </w:numPr>
        <w:spacing w:after="120"/>
        <w:ind w:left="357" w:hanging="357"/>
        <w:rPr>
          <w:rFonts w:cs="Arial"/>
          <w:color w:val="585858"/>
          <w:szCs w:val="22"/>
        </w:rPr>
      </w:pPr>
      <w:r w:rsidRPr="00B8704F">
        <w:rPr>
          <w:rFonts w:cs="Arial"/>
          <w:color w:val="585858"/>
          <w:szCs w:val="22"/>
        </w:rPr>
        <w:t>Have a desire to engage in senior systems leadership</w:t>
      </w:r>
      <w:r w:rsidR="00B8704F" w:rsidRPr="00B8704F">
        <w:rPr>
          <w:rFonts w:cs="Arial"/>
          <w:color w:val="585858"/>
          <w:szCs w:val="22"/>
        </w:rPr>
        <w:t>;</w:t>
      </w:r>
    </w:p>
    <w:p w14:paraId="416F3165" w14:textId="4228214B" w:rsidR="00CA7C60" w:rsidRPr="00FA0C73" w:rsidRDefault="00CA7C60" w:rsidP="56A80FAB">
      <w:pPr>
        <w:spacing w:after="0"/>
        <w:jc w:val="both"/>
        <w:rPr>
          <w:rFonts w:cs="Arial"/>
          <w:color w:val="585858"/>
        </w:rPr>
      </w:pPr>
      <w:r w:rsidRPr="00FA0C73">
        <w:rPr>
          <w:rFonts w:cs="Arial"/>
        </w:rPr>
        <w:br/>
      </w:r>
      <w:r w:rsidR="00784CF3" w:rsidRPr="00FA0C73">
        <w:rPr>
          <w:rFonts w:cs="Arial"/>
          <w:color w:val="585858"/>
        </w:rPr>
        <w:t>Desirable</w:t>
      </w:r>
    </w:p>
    <w:p w14:paraId="5CFD108A" w14:textId="77777777" w:rsidR="00FA0C73" w:rsidRPr="00FA0C73" w:rsidRDefault="004D1059" w:rsidP="00FA0C73">
      <w:pPr>
        <w:pStyle w:val="ListParagraph"/>
        <w:numPr>
          <w:ilvl w:val="0"/>
          <w:numId w:val="15"/>
        </w:numPr>
        <w:spacing w:after="0"/>
        <w:rPr>
          <w:rFonts w:eastAsia="Arial" w:cs="Arial"/>
          <w:color w:val="585858"/>
          <w:szCs w:val="22"/>
        </w:rPr>
      </w:pPr>
      <w:r w:rsidRPr="00FA0C73">
        <w:rPr>
          <w:rFonts w:cs="Arial"/>
          <w:color w:val="585858"/>
        </w:rPr>
        <w:t>be experienced in leading work beyond their own school including being skilled at</w:t>
      </w:r>
      <w:r w:rsidRPr="00FA0C73">
        <w:rPr>
          <w:rFonts w:cs="Arial"/>
        </w:rPr>
        <w:br/>
      </w:r>
      <w:r w:rsidRPr="00FA0C73">
        <w:rPr>
          <w:rFonts w:cs="Arial"/>
          <w:color w:val="585858"/>
        </w:rPr>
        <w:t>facilitating</w:t>
      </w:r>
      <w:r w:rsidR="003A3F57" w:rsidRPr="00FA0C73">
        <w:rPr>
          <w:rFonts w:cs="Arial"/>
          <w:color w:val="585858"/>
        </w:rPr>
        <w:t xml:space="preserve"> </w:t>
      </w:r>
      <w:r w:rsidRPr="00FA0C73">
        <w:rPr>
          <w:rFonts w:cs="Arial"/>
          <w:color w:val="585858"/>
        </w:rPr>
        <w:t>partnerships and leading collaborative activity</w:t>
      </w:r>
      <w:r w:rsidR="00CA7C60" w:rsidRPr="00FA0C73">
        <w:rPr>
          <w:rFonts w:cs="Arial"/>
          <w:color w:val="585858"/>
        </w:rPr>
        <w:t>;</w:t>
      </w:r>
    </w:p>
    <w:p w14:paraId="4C54BD4C" w14:textId="4548769F" w:rsidR="00CA7C60" w:rsidRPr="00FA0C73" w:rsidRDefault="00E115C1" w:rsidP="00FA0C73">
      <w:pPr>
        <w:pStyle w:val="ListParagraph"/>
        <w:numPr>
          <w:ilvl w:val="0"/>
          <w:numId w:val="15"/>
        </w:numPr>
        <w:spacing w:after="0"/>
        <w:rPr>
          <w:rFonts w:eastAsia="Arial" w:cs="Arial"/>
          <w:color w:val="585858"/>
          <w:szCs w:val="22"/>
        </w:rPr>
      </w:pPr>
      <w:r w:rsidRPr="00FA0C73">
        <w:rPr>
          <w:rFonts w:cs="Arial"/>
          <w:color w:val="585858"/>
          <w:szCs w:val="22"/>
        </w:rPr>
        <w:t xml:space="preserve">to have participated and/or led a Work Group for the Maths Hub in the past; </w:t>
      </w:r>
    </w:p>
    <w:p w14:paraId="07FB890F" w14:textId="30AC5456" w:rsidR="00FA0C73" w:rsidRPr="00FA0C73" w:rsidRDefault="00B8704F" w:rsidP="00FA0C73">
      <w:pPr>
        <w:pStyle w:val="ListParagraph"/>
        <w:numPr>
          <w:ilvl w:val="0"/>
          <w:numId w:val="15"/>
        </w:numPr>
        <w:spacing w:after="0"/>
        <w:rPr>
          <w:rFonts w:eastAsia="Arial" w:cs="Arial"/>
          <w:color w:val="585858"/>
          <w:szCs w:val="22"/>
        </w:rPr>
      </w:pPr>
      <w:r>
        <w:rPr>
          <w:rFonts w:cs="Arial"/>
          <w:color w:val="585858"/>
          <w:szCs w:val="22"/>
        </w:rPr>
        <w:t>have experience as a senior leader in education;</w:t>
      </w:r>
    </w:p>
    <w:p w14:paraId="2DB193FF" w14:textId="77777777" w:rsidR="00FA0C73" w:rsidRPr="00FA0C73" w:rsidRDefault="00FA0C73" w:rsidP="00FA0C73">
      <w:pPr>
        <w:spacing w:after="120"/>
        <w:ind w:left="357"/>
        <w:jc w:val="both"/>
        <w:rPr>
          <w:rFonts w:cs="Arial"/>
          <w:color w:val="585858"/>
        </w:rPr>
      </w:pPr>
    </w:p>
    <w:p w14:paraId="4DBA40FF" w14:textId="2A538497" w:rsidR="004738B9" w:rsidRPr="00FA0C73" w:rsidRDefault="1A0B458E" w:rsidP="56A80FAB">
      <w:pPr>
        <w:spacing w:after="0"/>
        <w:jc w:val="both"/>
        <w:rPr>
          <w:rFonts w:cs="Arial"/>
          <w:color w:val="585858"/>
        </w:rPr>
      </w:pPr>
      <w:r w:rsidRPr="00FA0C73">
        <w:rPr>
          <w:rFonts w:cs="Arial"/>
          <w:color w:val="585858"/>
          <w:szCs w:val="22"/>
        </w:rPr>
        <w:t>The Boolean Maths Hub is committed to safeguarding and promoting the welfare of children and young people and expects all staff and volunteers to share this commitment.</w:t>
      </w:r>
    </w:p>
    <w:p w14:paraId="5042AE38" w14:textId="2C49E916" w:rsidR="004738B9" w:rsidRPr="00FA0C73" w:rsidRDefault="00C277A5" w:rsidP="56A80FAB">
      <w:pPr>
        <w:spacing w:after="0"/>
        <w:jc w:val="both"/>
        <w:rPr>
          <w:rFonts w:cs="Arial"/>
          <w:b/>
          <w:bCs/>
          <w:color w:val="585858"/>
        </w:rPr>
      </w:pPr>
      <w:r w:rsidRPr="00FA0C73">
        <w:rPr>
          <w:rFonts w:cs="Arial"/>
        </w:rPr>
        <w:br/>
      </w:r>
      <w:r w:rsidR="00E115C1" w:rsidRPr="00FA0C73">
        <w:rPr>
          <w:rFonts w:cs="Arial"/>
          <w:b/>
          <w:bCs/>
          <w:color w:val="585858"/>
        </w:rPr>
        <w:t>The Application Process</w:t>
      </w:r>
    </w:p>
    <w:p w14:paraId="2755A0BC" w14:textId="77777777" w:rsidR="00CA7C60" w:rsidRPr="00FA0C73" w:rsidRDefault="00CA7C60" w:rsidP="00E115C1">
      <w:pPr>
        <w:spacing w:after="0"/>
        <w:jc w:val="both"/>
        <w:rPr>
          <w:rFonts w:cs="Arial"/>
          <w:b/>
          <w:color w:val="585858"/>
          <w:szCs w:val="22"/>
        </w:rPr>
      </w:pPr>
    </w:p>
    <w:p w14:paraId="5FCA2FC1" w14:textId="713CF637" w:rsidR="00AD6A23" w:rsidRPr="009B186E" w:rsidRDefault="004738B9" w:rsidP="56A80FAB">
      <w:pPr>
        <w:jc w:val="both"/>
        <w:rPr>
          <w:rFonts w:cs="Arial"/>
          <w:color w:val="585858"/>
          <w:szCs w:val="22"/>
          <w:u w:val="single"/>
        </w:rPr>
      </w:pPr>
      <w:r w:rsidRPr="009B186E">
        <w:rPr>
          <w:rFonts w:cs="Arial"/>
          <w:color w:val="585858"/>
        </w:rPr>
        <w:t xml:space="preserve">Applicants </w:t>
      </w:r>
      <w:r w:rsidR="00FA0C73" w:rsidRPr="009B186E">
        <w:rPr>
          <w:rFonts w:cs="Arial"/>
          <w:color w:val="585858"/>
        </w:rPr>
        <w:t xml:space="preserve">and their Principal/Headteacher </w:t>
      </w:r>
      <w:r w:rsidRPr="009B186E">
        <w:rPr>
          <w:rFonts w:cs="Arial"/>
          <w:color w:val="585858"/>
        </w:rPr>
        <w:t xml:space="preserve">should complete the form </w:t>
      </w:r>
      <w:r w:rsidR="00FA0C73" w:rsidRPr="009B186E">
        <w:rPr>
          <w:rFonts w:cs="Arial"/>
          <w:color w:val="585858"/>
        </w:rPr>
        <w:t>below</w:t>
      </w:r>
      <w:r w:rsidRPr="009B186E">
        <w:rPr>
          <w:rFonts w:cs="Arial"/>
          <w:color w:val="585858"/>
        </w:rPr>
        <w:t xml:space="preserve"> and e-mail</w:t>
      </w:r>
      <w:r w:rsidR="00AD6A23" w:rsidRPr="009B186E">
        <w:rPr>
          <w:rFonts w:cs="Arial"/>
          <w:color w:val="585858"/>
        </w:rPr>
        <w:t xml:space="preserve"> it</w:t>
      </w:r>
      <w:r w:rsidRPr="009B186E">
        <w:rPr>
          <w:rFonts w:cs="Arial"/>
          <w:color w:val="585858"/>
        </w:rPr>
        <w:t xml:space="preserve"> to the </w:t>
      </w:r>
      <w:r w:rsidR="00AD6A23" w:rsidRPr="009B186E">
        <w:rPr>
          <w:rFonts w:cs="Arial"/>
          <w:color w:val="585858"/>
        </w:rPr>
        <w:t xml:space="preserve">Boolean </w:t>
      </w:r>
      <w:r w:rsidRPr="009B186E">
        <w:rPr>
          <w:rFonts w:cs="Arial"/>
          <w:color w:val="585858"/>
        </w:rPr>
        <w:t xml:space="preserve">Maths Hub </w:t>
      </w:r>
      <w:hyperlink r:id="rId10">
        <w:r w:rsidR="003C3E58" w:rsidRPr="009B186E">
          <w:rPr>
            <w:rStyle w:val="Hyperlink"/>
            <w:rFonts w:cs="Arial"/>
            <w:color w:val="585858"/>
            <w:sz w:val="22"/>
            <w:szCs w:val="22"/>
          </w:rPr>
          <w:t>BooleanMathsHub@clf.cabot.ac.uk</w:t>
        </w:r>
      </w:hyperlink>
      <w:r w:rsidR="003C3E58" w:rsidRPr="009B186E">
        <w:rPr>
          <w:rFonts w:cs="Arial"/>
          <w:color w:val="585858"/>
        </w:rPr>
        <w:t xml:space="preserve"> </w:t>
      </w:r>
      <w:r w:rsidRPr="009B186E">
        <w:rPr>
          <w:rFonts w:cs="Arial"/>
          <w:color w:val="585858"/>
        </w:rPr>
        <w:t>by</w:t>
      </w:r>
      <w:r w:rsidR="00F60E7F" w:rsidRPr="009B186E">
        <w:rPr>
          <w:rFonts w:cs="Arial"/>
          <w:color w:val="585858"/>
        </w:rPr>
        <w:t xml:space="preserve"> </w:t>
      </w:r>
      <w:r w:rsidR="00C4621D">
        <w:rPr>
          <w:rFonts w:cs="Arial"/>
          <w:b/>
          <w:bCs/>
          <w:color w:val="585858"/>
        </w:rPr>
        <w:t>midday 26</w:t>
      </w:r>
      <w:r w:rsidR="00C4621D" w:rsidRPr="00C4621D">
        <w:rPr>
          <w:rFonts w:cs="Arial"/>
          <w:b/>
          <w:bCs/>
          <w:color w:val="585858"/>
          <w:vertAlign w:val="superscript"/>
        </w:rPr>
        <w:t>th</w:t>
      </w:r>
      <w:r w:rsidR="00C4621D">
        <w:rPr>
          <w:rFonts w:cs="Arial"/>
          <w:b/>
          <w:bCs/>
          <w:color w:val="585858"/>
        </w:rPr>
        <w:t xml:space="preserve"> November.</w:t>
      </w:r>
      <w:r w:rsidRPr="009B186E">
        <w:rPr>
          <w:rFonts w:cs="Arial"/>
          <w:color w:val="585858"/>
        </w:rPr>
        <w:t xml:space="preserve"> </w:t>
      </w:r>
    </w:p>
    <w:p w14:paraId="78639BC7" w14:textId="73EEFDA6" w:rsidR="00AD6A23" w:rsidRPr="00FA0C73" w:rsidRDefault="00F60E7F" w:rsidP="56A80FAB">
      <w:pPr>
        <w:jc w:val="both"/>
        <w:rPr>
          <w:rFonts w:cs="Arial"/>
          <w:color w:val="585858"/>
        </w:rPr>
      </w:pPr>
      <w:r w:rsidRPr="009B186E">
        <w:rPr>
          <w:rFonts w:cs="Arial"/>
          <w:color w:val="585858"/>
        </w:rPr>
        <w:t>The Maths Hub will contact applicants</w:t>
      </w:r>
      <w:r w:rsidR="00A05929" w:rsidRPr="009B186E">
        <w:rPr>
          <w:rFonts w:cs="Arial"/>
          <w:color w:val="585858"/>
        </w:rPr>
        <w:t>,</w:t>
      </w:r>
      <w:r w:rsidRPr="009B186E">
        <w:rPr>
          <w:rFonts w:cs="Arial"/>
          <w:color w:val="585858"/>
        </w:rPr>
        <w:t xml:space="preserve"> </w:t>
      </w:r>
      <w:r w:rsidR="00AD6A23" w:rsidRPr="009B186E">
        <w:rPr>
          <w:rFonts w:cs="Arial"/>
          <w:color w:val="585858"/>
        </w:rPr>
        <w:t>in the week beginning</w:t>
      </w:r>
      <w:r w:rsidR="00A05929" w:rsidRPr="009B186E">
        <w:rPr>
          <w:rFonts w:cs="Arial"/>
          <w:color w:val="585858"/>
        </w:rPr>
        <w:t xml:space="preserve"> </w:t>
      </w:r>
      <w:r w:rsidR="00C4621D">
        <w:rPr>
          <w:rFonts w:cs="Arial"/>
          <w:b/>
          <w:bCs/>
          <w:color w:val="585858"/>
        </w:rPr>
        <w:t>29</w:t>
      </w:r>
      <w:r w:rsidR="00C4621D" w:rsidRPr="00C4621D">
        <w:rPr>
          <w:rFonts w:cs="Arial"/>
          <w:b/>
          <w:bCs/>
          <w:color w:val="585858"/>
          <w:vertAlign w:val="superscript"/>
        </w:rPr>
        <w:t>th</w:t>
      </w:r>
      <w:r w:rsidR="00C4621D">
        <w:rPr>
          <w:rFonts w:cs="Arial"/>
          <w:b/>
          <w:bCs/>
          <w:color w:val="585858"/>
        </w:rPr>
        <w:t xml:space="preserve"> November</w:t>
      </w:r>
      <w:r w:rsidR="00A05929" w:rsidRPr="009B186E">
        <w:rPr>
          <w:rFonts w:cs="Arial"/>
          <w:color w:val="585858"/>
        </w:rPr>
        <w:t xml:space="preserve">, </w:t>
      </w:r>
      <w:r w:rsidRPr="009B186E">
        <w:rPr>
          <w:rFonts w:cs="Arial"/>
          <w:color w:val="585858"/>
        </w:rPr>
        <w:t>to confirm the next stage in the selection process.</w:t>
      </w:r>
      <w:r w:rsidR="00B9069F" w:rsidRPr="009B186E">
        <w:rPr>
          <w:rFonts w:cs="Arial"/>
          <w:color w:val="585858"/>
        </w:rPr>
        <w:t xml:space="preserve"> </w:t>
      </w:r>
      <w:r w:rsidR="00A05929" w:rsidRPr="009B186E">
        <w:rPr>
          <w:rFonts w:cs="Arial"/>
          <w:color w:val="585858"/>
        </w:rPr>
        <w:t xml:space="preserve">Interviews will </w:t>
      </w:r>
      <w:r w:rsidR="00C4621D">
        <w:rPr>
          <w:rFonts w:cs="Arial"/>
          <w:color w:val="585858"/>
        </w:rPr>
        <w:t>take place on</w:t>
      </w:r>
      <w:r w:rsidR="00FF441D" w:rsidRPr="009B186E">
        <w:rPr>
          <w:rFonts w:cs="Arial"/>
          <w:color w:val="585858"/>
        </w:rPr>
        <w:t xml:space="preserve"> </w:t>
      </w:r>
      <w:r w:rsidR="00C4621D">
        <w:rPr>
          <w:rFonts w:cs="Arial"/>
          <w:b/>
          <w:bCs/>
          <w:color w:val="585858"/>
        </w:rPr>
        <w:t>6</w:t>
      </w:r>
      <w:r w:rsidR="00C4621D" w:rsidRPr="00C4621D">
        <w:rPr>
          <w:rFonts w:cs="Arial"/>
          <w:b/>
          <w:bCs/>
          <w:color w:val="585858"/>
          <w:vertAlign w:val="superscript"/>
        </w:rPr>
        <w:t>th</w:t>
      </w:r>
      <w:r w:rsidR="00C4621D">
        <w:rPr>
          <w:rFonts w:cs="Arial"/>
          <w:b/>
          <w:bCs/>
          <w:color w:val="585858"/>
        </w:rPr>
        <w:t xml:space="preserve"> December</w:t>
      </w:r>
      <w:r w:rsidR="00A05929" w:rsidRPr="009B186E">
        <w:rPr>
          <w:rFonts w:cs="Arial"/>
          <w:color w:val="585858"/>
        </w:rPr>
        <w:t>.</w:t>
      </w:r>
      <w:r w:rsidR="00A05929" w:rsidRPr="00FA0C73">
        <w:rPr>
          <w:rFonts w:cs="Arial"/>
          <w:color w:val="585858"/>
        </w:rPr>
        <w:t xml:space="preserve"> </w:t>
      </w:r>
    </w:p>
    <w:p w14:paraId="6B713475" w14:textId="23E6A0B0" w:rsidR="004A6B94" w:rsidRDefault="00B9069F" w:rsidP="00E115C1">
      <w:pPr>
        <w:jc w:val="both"/>
        <w:rPr>
          <w:rStyle w:val="Hyperlink"/>
          <w:sz w:val="22"/>
          <w:szCs w:val="22"/>
        </w:rPr>
        <w:sectPr w:rsidR="004A6B94" w:rsidSect="00E90B59">
          <w:headerReference w:type="even" r:id="rId11"/>
          <w:headerReference w:type="default" r:id="rId12"/>
          <w:footerReference w:type="default" r:id="rId13"/>
          <w:headerReference w:type="first" r:id="rId14"/>
          <w:pgSz w:w="11906" w:h="16838"/>
          <w:pgMar w:top="1440" w:right="1440" w:bottom="1440" w:left="1440" w:header="284" w:footer="567" w:gutter="0"/>
          <w:cols w:space="720"/>
          <w:titlePg/>
          <w:docGrid w:linePitch="299"/>
        </w:sectPr>
      </w:pPr>
      <w:r w:rsidRPr="56A80FAB">
        <w:rPr>
          <w:color w:val="585858"/>
        </w:rPr>
        <w:t>If you have any questions about this opportunity, please contact</w:t>
      </w:r>
      <w:r w:rsidR="00B053B7" w:rsidRPr="56A80FAB">
        <w:rPr>
          <w:color w:val="585858"/>
        </w:rPr>
        <w:t xml:space="preserve"> Lisa Pollard, Maths Hub Lead, via email </w:t>
      </w:r>
      <w:hyperlink r:id="rId15">
        <w:r w:rsidR="00B053B7" w:rsidRPr="009B186E">
          <w:rPr>
            <w:rStyle w:val="Hyperlink"/>
            <w:color w:val="auto"/>
            <w:sz w:val="22"/>
            <w:szCs w:val="22"/>
          </w:rPr>
          <w:t>lisa.pollard@clf.uk</w:t>
        </w:r>
      </w:hyperlink>
      <w:r w:rsidR="1B46F1E6" w:rsidRPr="009B186E">
        <w:rPr>
          <w:szCs w:val="22"/>
        </w:rPr>
        <w:t>.</w:t>
      </w:r>
    </w:p>
    <w:p w14:paraId="5AD27D9E" w14:textId="5DB686B5" w:rsidR="001C6DEC" w:rsidRPr="001C6DEC" w:rsidRDefault="00696E1C" w:rsidP="004A6B94">
      <w:pPr>
        <w:jc w:val="center"/>
        <w:rPr>
          <w:b/>
          <w:bCs/>
          <w:color w:val="585858"/>
          <w:sz w:val="24"/>
        </w:rPr>
      </w:pPr>
      <w:r w:rsidRPr="005C7DE1">
        <w:rPr>
          <w:b/>
          <w:color w:val="585858"/>
          <w:sz w:val="32"/>
          <w:szCs w:val="32"/>
        </w:rPr>
        <w:lastRenderedPageBreak/>
        <w:t xml:space="preserve">Assistant Maths Hub Lead </w:t>
      </w:r>
      <w:r w:rsidR="00F6522C" w:rsidRPr="005C7DE1">
        <w:rPr>
          <w:b/>
          <w:color w:val="585858"/>
          <w:sz w:val="32"/>
          <w:szCs w:val="32"/>
        </w:rPr>
        <w:t xml:space="preserve">application </w:t>
      </w:r>
      <w:proofErr w:type="gramStart"/>
      <w:r w:rsidR="00F6522C" w:rsidRPr="005C7DE1">
        <w:rPr>
          <w:b/>
          <w:color w:val="585858"/>
          <w:sz w:val="32"/>
          <w:szCs w:val="32"/>
        </w:rPr>
        <w:t>form</w:t>
      </w:r>
      <w:proofErr w:type="gramEnd"/>
      <w:r w:rsidR="004A6B94">
        <w:rPr>
          <w:b/>
          <w:color w:val="585858"/>
          <w:sz w:val="32"/>
          <w:szCs w:val="32"/>
        </w:rPr>
        <w:br/>
      </w:r>
      <w:r w:rsidR="001C6DEC" w:rsidRPr="74377530">
        <w:rPr>
          <w:b/>
          <w:bCs/>
          <w:color w:val="585858"/>
          <w:sz w:val="24"/>
        </w:rPr>
        <w:t>(fixed term until July 202</w:t>
      </w:r>
      <w:r w:rsidR="386C12E9" w:rsidRPr="74377530">
        <w:rPr>
          <w:b/>
          <w:bCs/>
          <w:color w:val="585858"/>
          <w:sz w:val="24"/>
        </w:rPr>
        <w:t>2</w:t>
      </w:r>
      <w:r w:rsidR="001C6DEC" w:rsidRPr="74377530">
        <w:rPr>
          <w:b/>
          <w:bCs/>
          <w:color w:val="585858"/>
          <w:sz w:val="24"/>
        </w:rPr>
        <w:t>)</w:t>
      </w:r>
    </w:p>
    <w:p w14:paraId="0B87A3E9" w14:textId="73E27A5D" w:rsidR="00AB1CFE" w:rsidRPr="004A6B94" w:rsidRDefault="00AB1CFE" w:rsidP="56A80FAB">
      <w:pPr>
        <w:rPr>
          <w:rFonts w:cs="Arial"/>
          <w:b/>
          <w:bCs/>
          <w:color w:val="585858"/>
        </w:rPr>
      </w:pPr>
      <w:r w:rsidRPr="56A80FAB">
        <w:rPr>
          <w:rFonts w:cs="Arial"/>
          <w:b/>
          <w:bCs/>
          <w:color w:val="585858"/>
        </w:rPr>
        <w:t xml:space="preserve">Please complete the application form below and e-mail to </w:t>
      </w:r>
      <w:hyperlink r:id="rId16">
        <w:r w:rsidR="004A6B94" w:rsidRPr="56A80FAB">
          <w:rPr>
            <w:rStyle w:val="Hyperlink"/>
            <w:rFonts w:cs="Arial"/>
            <w:b/>
            <w:bCs/>
            <w:sz w:val="22"/>
            <w:szCs w:val="22"/>
          </w:rPr>
          <w:t>booleanmathshub@clf.cabot.ac.uk</w:t>
        </w:r>
        <w:r>
          <w:br/>
        </w:r>
      </w:hyperlink>
      <w:r w:rsidRPr="56A80FAB">
        <w:rPr>
          <w:rFonts w:cs="Arial"/>
          <w:b/>
          <w:bCs/>
          <w:color w:val="585858"/>
        </w:rPr>
        <w:t xml:space="preserve">by </w:t>
      </w:r>
      <w:r w:rsidR="00C4621D">
        <w:rPr>
          <w:b/>
          <w:bCs/>
          <w:color w:val="585858"/>
        </w:rPr>
        <w:t>midday 26</w:t>
      </w:r>
      <w:r w:rsidR="00C4621D" w:rsidRPr="00C4621D">
        <w:rPr>
          <w:b/>
          <w:bCs/>
          <w:color w:val="585858"/>
          <w:vertAlign w:val="superscript"/>
        </w:rPr>
        <w:t>th</w:t>
      </w:r>
      <w:r w:rsidR="00C4621D">
        <w:rPr>
          <w:b/>
          <w:bCs/>
          <w:color w:val="585858"/>
        </w:rPr>
        <w:t xml:space="preserve"> November</w:t>
      </w:r>
      <w:r w:rsidR="00A05929" w:rsidRPr="56A80FAB">
        <w:rPr>
          <w:rFonts w:cs="Arial"/>
          <w:b/>
          <w:bCs/>
          <w:color w:val="585858"/>
        </w:rPr>
        <w:t>.</w:t>
      </w:r>
    </w:p>
    <w:p w14:paraId="2C445FA7" w14:textId="77777777" w:rsidR="00CC7DDC" w:rsidRPr="005C7DE1" w:rsidRDefault="00CC7DDC" w:rsidP="00E115C1">
      <w:pPr>
        <w:pStyle w:val="NoSpacing"/>
        <w:spacing w:before="120"/>
        <w:jc w:val="both"/>
        <w:rPr>
          <w:rFonts w:cs="Arial"/>
          <w:b/>
          <w:color w:val="585858"/>
          <w:sz w:val="22"/>
          <w:szCs w:val="22"/>
        </w:rPr>
      </w:pPr>
      <w:r w:rsidRPr="005C7DE1">
        <w:rPr>
          <w:rFonts w:cs="Arial"/>
          <w:b/>
          <w:color w:val="585858"/>
          <w:sz w:val="22"/>
          <w:szCs w:val="22"/>
        </w:rPr>
        <w:t>School details</w:t>
      </w:r>
    </w:p>
    <w:tbl>
      <w:tblPr>
        <w:tblStyle w:val="TableGrid"/>
        <w:tblW w:w="10235" w:type="dxa"/>
        <w:tblInd w:w="108" w:type="dxa"/>
        <w:tblLayout w:type="fixed"/>
        <w:tblLook w:val="04A0" w:firstRow="1" w:lastRow="0" w:firstColumn="1" w:lastColumn="0" w:noHBand="0" w:noVBand="1"/>
      </w:tblPr>
      <w:tblGrid>
        <w:gridCol w:w="1872"/>
        <w:gridCol w:w="2835"/>
        <w:gridCol w:w="1276"/>
        <w:gridCol w:w="4252"/>
      </w:tblGrid>
      <w:tr w:rsidR="00CC7DDC" w:rsidRPr="005C7DE1" w14:paraId="2F4F3149" w14:textId="77777777" w:rsidTr="00897D0F">
        <w:tc>
          <w:tcPr>
            <w:tcW w:w="1872" w:type="dxa"/>
          </w:tcPr>
          <w:p w14:paraId="56165A5D"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Name of school</w:t>
            </w:r>
          </w:p>
        </w:tc>
        <w:tc>
          <w:tcPr>
            <w:tcW w:w="8363" w:type="dxa"/>
            <w:gridSpan w:val="3"/>
          </w:tcPr>
          <w:p w14:paraId="329593AD" w14:textId="608FFB87" w:rsidR="00CC7DDC" w:rsidRPr="005C7DE1" w:rsidRDefault="00CC7DDC" w:rsidP="00E115C1">
            <w:pPr>
              <w:pStyle w:val="NoSpacing"/>
              <w:jc w:val="both"/>
              <w:rPr>
                <w:rFonts w:ascii="Arial" w:hAnsi="Arial" w:cs="Arial"/>
                <w:color w:val="585858"/>
                <w:sz w:val="22"/>
                <w:szCs w:val="22"/>
              </w:rPr>
            </w:pPr>
          </w:p>
        </w:tc>
      </w:tr>
      <w:tr w:rsidR="00CC7DDC" w:rsidRPr="005C7DE1" w14:paraId="24C9A9C6" w14:textId="77777777" w:rsidTr="00897D0F">
        <w:tc>
          <w:tcPr>
            <w:tcW w:w="1872" w:type="dxa"/>
          </w:tcPr>
          <w:p w14:paraId="0C22846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Address</w:t>
            </w:r>
          </w:p>
        </w:tc>
        <w:tc>
          <w:tcPr>
            <w:tcW w:w="8363" w:type="dxa"/>
            <w:gridSpan w:val="3"/>
          </w:tcPr>
          <w:p w14:paraId="233E36D1" w14:textId="0EB15F02" w:rsidR="00CC7DDC" w:rsidRPr="005C7DE1" w:rsidRDefault="00CC7DDC" w:rsidP="00E115C1">
            <w:pPr>
              <w:pStyle w:val="NoSpacing"/>
              <w:jc w:val="both"/>
              <w:rPr>
                <w:rFonts w:ascii="Arial" w:hAnsi="Arial" w:cs="Arial"/>
                <w:color w:val="585858"/>
                <w:sz w:val="22"/>
                <w:szCs w:val="22"/>
              </w:rPr>
            </w:pPr>
          </w:p>
        </w:tc>
      </w:tr>
      <w:tr w:rsidR="00CC7DDC" w:rsidRPr="005C7DE1" w14:paraId="40FE1668" w14:textId="77777777" w:rsidTr="00897D0F">
        <w:tc>
          <w:tcPr>
            <w:tcW w:w="1872" w:type="dxa"/>
          </w:tcPr>
          <w:p w14:paraId="6782CD1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School URN</w:t>
            </w:r>
          </w:p>
        </w:tc>
        <w:tc>
          <w:tcPr>
            <w:tcW w:w="2835" w:type="dxa"/>
          </w:tcPr>
          <w:p w14:paraId="20030C74" w14:textId="459697F5" w:rsidR="00CC7DDC" w:rsidRPr="005C7DE1" w:rsidRDefault="00CC7DDC" w:rsidP="00E115C1">
            <w:pPr>
              <w:pStyle w:val="NoSpacing"/>
              <w:jc w:val="both"/>
              <w:rPr>
                <w:rFonts w:ascii="Arial" w:hAnsi="Arial" w:cs="Arial"/>
                <w:color w:val="585858"/>
                <w:sz w:val="22"/>
                <w:szCs w:val="22"/>
              </w:rPr>
            </w:pPr>
          </w:p>
        </w:tc>
        <w:tc>
          <w:tcPr>
            <w:tcW w:w="1276" w:type="dxa"/>
          </w:tcPr>
          <w:p w14:paraId="300185D9"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Telephone</w:t>
            </w:r>
          </w:p>
        </w:tc>
        <w:tc>
          <w:tcPr>
            <w:tcW w:w="4252" w:type="dxa"/>
          </w:tcPr>
          <w:p w14:paraId="4578A927" w14:textId="51DB886A" w:rsidR="00CC7DDC" w:rsidRPr="005C7DE1" w:rsidRDefault="00CC7DDC" w:rsidP="00E115C1">
            <w:pPr>
              <w:pStyle w:val="NoSpacing"/>
              <w:jc w:val="both"/>
              <w:rPr>
                <w:rFonts w:ascii="Arial" w:hAnsi="Arial" w:cs="Arial"/>
                <w:color w:val="585858"/>
                <w:sz w:val="22"/>
                <w:szCs w:val="22"/>
              </w:rPr>
            </w:pPr>
          </w:p>
        </w:tc>
      </w:tr>
      <w:tr w:rsidR="00CC7DDC" w:rsidRPr="005C7DE1" w14:paraId="71ED0C7E" w14:textId="77777777" w:rsidTr="00897D0F">
        <w:tc>
          <w:tcPr>
            <w:tcW w:w="1872" w:type="dxa"/>
          </w:tcPr>
          <w:p w14:paraId="6EAE7A6E"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Head Teacher</w:t>
            </w:r>
          </w:p>
        </w:tc>
        <w:tc>
          <w:tcPr>
            <w:tcW w:w="2835" w:type="dxa"/>
          </w:tcPr>
          <w:p w14:paraId="369BC852" w14:textId="3D506FBD" w:rsidR="00CC7DDC" w:rsidRPr="005C7DE1" w:rsidRDefault="00CC7DDC" w:rsidP="00E115C1">
            <w:pPr>
              <w:pStyle w:val="NoSpacing"/>
              <w:jc w:val="both"/>
              <w:rPr>
                <w:rFonts w:ascii="Arial" w:hAnsi="Arial" w:cs="Arial"/>
                <w:color w:val="585858"/>
                <w:sz w:val="22"/>
                <w:szCs w:val="22"/>
              </w:rPr>
            </w:pPr>
          </w:p>
        </w:tc>
        <w:tc>
          <w:tcPr>
            <w:tcW w:w="1276" w:type="dxa"/>
          </w:tcPr>
          <w:p w14:paraId="1160BD1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Email</w:t>
            </w:r>
          </w:p>
        </w:tc>
        <w:tc>
          <w:tcPr>
            <w:tcW w:w="4252" w:type="dxa"/>
          </w:tcPr>
          <w:p w14:paraId="47430A40" w14:textId="6E0D33C8" w:rsidR="00CC7DDC" w:rsidRPr="005C7DE1" w:rsidRDefault="00CC7DDC" w:rsidP="00E115C1">
            <w:pPr>
              <w:pStyle w:val="NoSpacing"/>
              <w:jc w:val="both"/>
              <w:rPr>
                <w:rFonts w:ascii="Arial" w:hAnsi="Arial" w:cs="Arial"/>
                <w:color w:val="585858"/>
                <w:sz w:val="22"/>
                <w:szCs w:val="22"/>
              </w:rPr>
            </w:pPr>
          </w:p>
        </w:tc>
      </w:tr>
      <w:tr w:rsidR="00CC7DDC" w:rsidRPr="005C7DE1" w14:paraId="7477C0F2" w14:textId="77777777" w:rsidTr="00897D0F">
        <w:tc>
          <w:tcPr>
            <w:tcW w:w="1872" w:type="dxa"/>
          </w:tcPr>
          <w:p w14:paraId="2E053669" w14:textId="409C9102"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Local Authority</w:t>
            </w:r>
            <w:r w:rsidR="004E2E62">
              <w:rPr>
                <w:rFonts w:ascii="Arial" w:hAnsi="Arial" w:cs="Arial"/>
                <w:color w:val="585858"/>
                <w:sz w:val="22"/>
                <w:szCs w:val="22"/>
              </w:rPr>
              <w:t xml:space="preserve"> District</w:t>
            </w:r>
          </w:p>
        </w:tc>
        <w:tc>
          <w:tcPr>
            <w:tcW w:w="8363" w:type="dxa"/>
            <w:gridSpan w:val="3"/>
          </w:tcPr>
          <w:p w14:paraId="19051EB5" w14:textId="75FFCE1F" w:rsidR="00CC7DDC" w:rsidRPr="005C7DE1" w:rsidRDefault="00CC7DDC" w:rsidP="00E115C1">
            <w:pPr>
              <w:pStyle w:val="NoSpacing"/>
              <w:jc w:val="both"/>
              <w:rPr>
                <w:rFonts w:ascii="Arial" w:hAnsi="Arial" w:cs="Arial"/>
                <w:color w:val="585858"/>
                <w:sz w:val="22"/>
                <w:szCs w:val="22"/>
              </w:rPr>
            </w:pPr>
          </w:p>
        </w:tc>
      </w:tr>
    </w:tbl>
    <w:p w14:paraId="3131F0C9" w14:textId="77DF0CC6" w:rsidR="00CC7DDC" w:rsidRPr="005C7DE1" w:rsidRDefault="00CC7DDC" w:rsidP="00E115C1">
      <w:pPr>
        <w:spacing w:before="240" w:after="0"/>
        <w:jc w:val="both"/>
        <w:rPr>
          <w:rFonts w:cs="Arial"/>
          <w:b/>
          <w:i/>
          <w:color w:val="585858"/>
          <w:szCs w:val="22"/>
        </w:rPr>
      </w:pPr>
      <w:r w:rsidRPr="005C7DE1">
        <w:rPr>
          <w:rFonts w:cs="Arial"/>
          <w:b/>
          <w:color w:val="585858"/>
          <w:szCs w:val="22"/>
        </w:rPr>
        <w:t>AMHL applicant details</w:t>
      </w:r>
    </w:p>
    <w:tbl>
      <w:tblPr>
        <w:tblStyle w:val="TableGrid"/>
        <w:tblW w:w="10235" w:type="dxa"/>
        <w:tblInd w:w="108" w:type="dxa"/>
        <w:tblLook w:val="04A0" w:firstRow="1" w:lastRow="0" w:firstColumn="1" w:lastColumn="0" w:noHBand="0" w:noVBand="1"/>
      </w:tblPr>
      <w:tblGrid>
        <w:gridCol w:w="2155"/>
        <w:gridCol w:w="3686"/>
        <w:gridCol w:w="1276"/>
        <w:gridCol w:w="3118"/>
      </w:tblGrid>
      <w:tr w:rsidR="00CC7DDC" w:rsidRPr="005C7DE1" w14:paraId="477655C3" w14:textId="77777777" w:rsidTr="00897D0F">
        <w:tc>
          <w:tcPr>
            <w:tcW w:w="2155" w:type="dxa"/>
          </w:tcPr>
          <w:p w14:paraId="63EF2602"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Name</w:t>
            </w:r>
          </w:p>
        </w:tc>
        <w:tc>
          <w:tcPr>
            <w:tcW w:w="8080" w:type="dxa"/>
            <w:gridSpan w:val="3"/>
          </w:tcPr>
          <w:p w14:paraId="68921682" w14:textId="659F8676" w:rsidR="00CC7DDC" w:rsidRPr="005C7DE1" w:rsidRDefault="00CC7DDC" w:rsidP="00E115C1">
            <w:pPr>
              <w:pStyle w:val="NoSpacing"/>
              <w:jc w:val="both"/>
              <w:rPr>
                <w:rFonts w:ascii="Arial" w:hAnsi="Arial" w:cs="Arial"/>
                <w:color w:val="585858"/>
                <w:sz w:val="22"/>
                <w:szCs w:val="22"/>
              </w:rPr>
            </w:pPr>
          </w:p>
        </w:tc>
      </w:tr>
      <w:tr w:rsidR="00CC7DDC" w:rsidRPr="005C7DE1" w14:paraId="5FD6C060" w14:textId="77777777" w:rsidTr="00897D0F">
        <w:tc>
          <w:tcPr>
            <w:tcW w:w="2155" w:type="dxa"/>
          </w:tcPr>
          <w:p w14:paraId="21C50032"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Email</w:t>
            </w:r>
          </w:p>
        </w:tc>
        <w:tc>
          <w:tcPr>
            <w:tcW w:w="3686" w:type="dxa"/>
          </w:tcPr>
          <w:p w14:paraId="1DA5364A" w14:textId="6BDB1780" w:rsidR="00CC7DDC" w:rsidRPr="005C7DE1" w:rsidRDefault="00CC7DDC" w:rsidP="00E115C1">
            <w:pPr>
              <w:pStyle w:val="NoSpacing"/>
              <w:jc w:val="both"/>
              <w:rPr>
                <w:rFonts w:ascii="Arial" w:hAnsi="Arial" w:cs="Arial"/>
                <w:color w:val="585858"/>
                <w:sz w:val="22"/>
                <w:szCs w:val="22"/>
              </w:rPr>
            </w:pPr>
          </w:p>
        </w:tc>
        <w:tc>
          <w:tcPr>
            <w:tcW w:w="1276" w:type="dxa"/>
          </w:tcPr>
          <w:p w14:paraId="66206A3B" w14:textId="687EA7D0" w:rsidR="00CC7DDC" w:rsidRPr="005C7DE1" w:rsidRDefault="009B186E" w:rsidP="00E115C1">
            <w:pPr>
              <w:pStyle w:val="NoSpacing"/>
              <w:jc w:val="both"/>
              <w:rPr>
                <w:rFonts w:ascii="Arial" w:hAnsi="Arial" w:cs="Arial"/>
                <w:color w:val="585858"/>
                <w:sz w:val="22"/>
                <w:szCs w:val="22"/>
              </w:rPr>
            </w:pPr>
            <w:r>
              <w:rPr>
                <w:rFonts w:ascii="Arial" w:hAnsi="Arial" w:cs="Arial"/>
                <w:color w:val="585858"/>
                <w:sz w:val="22"/>
                <w:szCs w:val="22"/>
              </w:rPr>
              <w:t>Telephone</w:t>
            </w:r>
          </w:p>
        </w:tc>
        <w:tc>
          <w:tcPr>
            <w:tcW w:w="3118" w:type="dxa"/>
          </w:tcPr>
          <w:p w14:paraId="04983FDD" w14:textId="33F639C8" w:rsidR="00CC7DDC" w:rsidRPr="005C7DE1" w:rsidRDefault="00CC7DDC" w:rsidP="00E115C1">
            <w:pPr>
              <w:pStyle w:val="NoSpacing"/>
              <w:jc w:val="both"/>
              <w:rPr>
                <w:rFonts w:ascii="Arial" w:hAnsi="Arial" w:cs="Arial"/>
                <w:color w:val="585858"/>
                <w:sz w:val="22"/>
                <w:szCs w:val="22"/>
              </w:rPr>
            </w:pPr>
          </w:p>
        </w:tc>
      </w:tr>
      <w:tr w:rsidR="00B053B7" w:rsidRPr="005C7DE1" w14:paraId="1F8C029E" w14:textId="77777777" w:rsidTr="00897D0F">
        <w:tc>
          <w:tcPr>
            <w:tcW w:w="2155" w:type="dxa"/>
          </w:tcPr>
          <w:p w14:paraId="06AA7140" w14:textId="26C037D3" w:rsidR="00B053B7" w:rsidRPr="005C7DE1" w:rsidRDefault="00B053B7" w:rsidP="00E115C1">
            <w:pPr>
              <w:pStyle w:val="NoSpacing"/>
              <w:jc w:val="both"/>
              <w:rPr>
                <w:rFonts w:cs="Arial"/>
                <w:color w:val="585858"/>
                <w:sz w:val="22"/>
                <w:szCs w:val="22"/>
              </w:rPr>
            </w:pPr>
            <w:r w:rsidRPr="00B053B7">
              <w:rPr>
                <w:rFonts w:ascii="Arial" w:hAnsi="Arial" w:cs="Arial"/>
                <w:color w:val="585858"/>
                <w:sz w:val="22"/>
                <w:szCs w:val="22"/>
              </w:rPr>
              <w:t>Teacher Reference Number (TRN)</w:t>
            </w:r>
          </w:p>
        </w:tc>
        <w:tc>
          <w:tcPr>
            <w:tcW w:w="8080" w:type="dxa"/>
            <w:gridSpan w:val="3"/>
          </w:tcPr>
          <w:p w14:paraId="53C74AC3" w14:textId="4F218D73" w:rsidR="00B053B7" w:rsidRPr="005C7DE1" w:rsidRDefault="00B053B7" w:rsidP="00E115C1">
            <w:pPr>
              <w:pStyle w:val="NoSpacing"/>
              <w:jc w:val="both"/>
              <w:rPr>
                <w:rFonts w:cs="Arial"/>
                <w:color w:val="585858"/>
                <w:sz w:val="22"/>
                <w:szCs w:val="22"/>
              </w:rPr>
            </w:pPr>
          </w:p>
        </w:tc>
      </w:tr>
      <w:tr w:rsidR="00CC7DDC" w:rsidRPr="005C7DE1" w14:paraId="1284AAD7" w14:textId="77777777" w:rsidTr="00897D0F">
        <w:tc>
          <w:tcPr>
            <w:tcW w:w="2155" w:type="dxa"/>
          </w:tcPr>
          <w:p w14:paraId="4C9EFA77" w14:textId="1185B216"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Current main role within school</w:t>
            </w:r>
          </w:p>
        </w:tc>
        <w:tc>
          <w:tcPr>
            <w:tcW w:w="8080" w:type="dxa"/>
            <w:gridSpan w:val="3"/>
          </w:tcPr>
          <w:p w14:paraId="09FB8E09" w14:textId="553C49AC" w:rsidR="00CC7DDC" w:rsidRPr="005C7DE1" w:rsidRDefault="00CC7DDC" w:rsidP="00E115C1">
            <w:pPr>
              <w:pStyle w:val="NoSpacing"/>
              <w:jc w:val="both"/>
              <w:rPr>
                <w:rFonts w:ascii="Arial" w:hAnsi="Arial" w:cs="Arial"/>
                <w:color w:val="585858"/>
                <w:sz w:val="22"/>
                <w:szCs w:val="22"/>
              </w:rPr>
            </w:pPr>
          </w:p>
        </w:tc>
      </w:tr>
    </w:tbl>
    <w:p w14:paraId="455FC46B" w14:textId="425AB2BE" w:rsidR="00CC7DDC" w:rsidRPr="005C7DE1" w:rsidRDefault="00CC7DDC" w:rsidP="00E115C1">
      <w:pPr>
        <w:spacing w:before="240" w:after="0"/>
        <w:jc w:val="both"/>
        <w:rPr>
          <w:rFonts w:cs="Arial"/>
          <w:color w:val="585858"/>
          <w:szCs w:val="22"/>
        </w:rPr>
      </w:pPr>
      <w:r w:rsidRPr="005C7DE1">
        <w:rPr>
          <w:rFonts w:cs="Arial"/>
          <w:b/>
          <w:bCs/>
          <w:color w:val="585858"/>
          <w:szCs w:val="22"/>
        </w:rPr>
        <w:t>A</w:t>
      </w:r>
      <w:r w:rsidR="00E95346" w:rsidRPr="005C7DE1">
        <w:rPr>
          <w:rFonts w:cs="Arial"/>
          <w:b/>
          <w:bCs/>
          <w:color w:val="585858"/>
          <w:szCs w:val="22"/>
        </w:rPr>
        <w:t>pplicant criteria</w:t>
      </w:r>
      <w:r w:rsidR="00E95346" w:rsidRPr="005C7DE1">
        <w:rPr>
          <w:rFonts w:cs="Arial"/>
          <w:color w:val="585858"/>
          <w:szCs w:val="22"/>
        </w:rPr>
        <w:t xml:space="preserve"> </w:t>
      </w:r>
      <w:r w:rsidR="00E95346" w:rsidRPr="00B50994">
        <w:rPr>
          <w:rFonts w:cs="Arial"/>
          <w:i/>
          <w:color w:val="585858"/>
          <w:szCs w:val="22"/>
        </w:rPr>
        <w:t>(please outline how you meet the criteria for the role – up to 200 words)</w:t>
      </w:r>
    </w:p>
    <w:tbl>
      <w:tblPr>
        <w:tblStyle w:val="TableGrid"/>
        <w:tblW w:w="10206" w:type="dxa"/>
        <w:tblInd w:w="137" w:type="dxa"/>
        <w:tblLook w:val="04A0" w:firstRow="1" w:lastRow="0" w:firstColumn="1" w:lastColumn="0" w:noHBand="0" w:noVBand="1"/>
      </w:tblPr>
      <w:tblGrid>
        <w:gridCol w:w="10206"/>
      </w:tblGrid>
      <w:tr w:rsidR="00E95346" w:rsidRPr="005C7DE1" w14:paraId="6B203544" w14:textId="77777777" w:rsidTr="00897D0F">
        <w:trPr>
          <w:trHeight w:val="2420"/>
        </w:trPr>
        <w:tc>
          <w:tcPr>
            <w:tcW w:w="10206" w:type="dxa"/>
          </w:tcPr>
          <w:p w14:paraId="43609425" w14:textId="5DF8D424" w:rsidR="00B053B7" w:rsidRPr="005C7DE1" w:rsidRDefault="00D15F12" w:rsidP="00E115C1">
            <w:pPr>
              <w:jc w:val="both"/>
              <w:rPr>
                <w:rFonts w:cs="Arial"/>
                <w:color w:val="585858"/>
                <w:szCs w:val="22"/>
              </w:rPr>
            </w:pPr>
            <w:r>
              <w:rPr>
                <w:rFonts w:cs="Arial"/>
                <w:color w:val="585858"/>
                <w:szCs w:val="22"/>
              </w:rPr>
              <w:t xml:space="preserve"> </w:t>
            </w:r>
          </w:p>
        </w:tc>
      </w:tr>
    </w:tbl>
    <w:p w14:paraId="061649E0" w14:textId="4279C725" w:rsidR="00E95346" w:rsidRPr="005C7DE1" w:rsidRDefault="00E95346" w:rsidP="00E115C1">
      <w:pPr>
        <w:spacing w:before="240" w:after="0"/>
        <w:jc w:val="both"/>
        <w:rPr>
          <w:rFonts w:cs="Arial"/>
          <w:color w:val="585858"/>
          <w:szCs w:val="22"/>
        </w:rPr>
      </w:pPr>
      <w:r w:rsidRPr="005C7DE1">
        <w:rPr>
          <w:rFonts w:cs="Arial"/>
          <w:b/>
          <w:bCs/>
          <w:color w:val="585858"/>
          <w:szCs w:val="22"/>
        </w:rPr>
        <w:t>Interest in role</w:t>
      </w:r>
      <w:r w:rsidRPr="005C7DE1">
        <w:rPr>
          <w:rFonts w:cs="Arial"/>
          <w:color w:val="585858"/>
          <w:szCs w:val="22"/>
        </w:rPr>
        <w:t xml:space="preserve"> </w:t>
      </w:r>
      <w:r w:rsidRPr="00B50994">
        <w:rPr>
          <w:rFonts w:cs="Arial"/>
          <w:i/>
          <w:color w:val="585858"/>
          <w:szCs w:val="22"/>
        </w:rPr>
        <w:t xml:space="preserve">(please explain why you are interested in the role – up to </w:t>
      </w:r>
      <w:r w:rsidR="008071A7" w:rsidRPr="00B50994">
        <w:rPr>
          <w:rFonts w:cs="Arial"/>
          <w:i/>
          <w:color w:val="585858"/>
          <w:szCs w:val="22"/>
        </w:rPr>
        <w:t>2</w:t>
      </w:r>
      <w:r w:rsidRPr="00B50994">
        <w:rPr>
          <w:rFonts w:cs="Arial"/>
          <w:i/>
          <w:color w:val="585858"/>
          <w:szCs w:val="22"/>
        </w:rPr>
        <w:t>00 words)</w:t>
      </w:r>
    </w:p>
    <w:tbl>
      <w:tblPr>
        <w:tblStyle w:val="TableGrid"/>
        <w:tblW w:w="10206" w:type="dxa"/>
        <w:tblInd w:w="137" w:type="dxa"/>
        <w:tblLook w:val="04A0" w:firstRow="1" w:lastRow="0" w:firstColumn="1" w:lastColumn="0" w:noHBand="0" w:noVBand="1"/>
      </w:tblPr>
      <w:tblGrid>
        <w:gridCol w:w="10206"/>
      </w:tblGrid>
      <w:tr w:rsidR="00E95346" w:rsidRPr="005C7DE1" w14:paraId="0AB22ACB" w14:textId="77777777" w:rsidTr="00E115C1">
        <w:trPr>
          <w:trHeight w:val="1287"/>
        </w:trPr>
        <w:tc>
          <w:tcPr>
            <w:tcW w:w="10206" w:type="dxa"/>
          </w:tcPr>
          <w:p w14:paraId="71AF92BB" w14:textId="77777777" w:rsidR="00B053B7" w:rsidRDefault="00B053B7" w:rsidP="008E77A4">
            <w:pPr>
              <w:jc w:val="both"/>
              <w:rPr>
                <w:rFonts w:cs="Arial"/>
                <w:color w:val="585858"/>
                <w:szCs w:val="22"/>
              </w:rPr>
            </w:pPr>
          </w:p>
          <w:p w14:paraId="5C7BA353" w14:textId="77777777" w:rsidR="009B186E" w:rsidRDefault="009B186E" w:rsidP="008E77A4">
            <w:pPr>
              <w:jc w:val="both"/>
              <w:rPr>
                <w:rFonts w:cs="Arial"/>
                <w:color w:val="585858"/>
                <w:szCs w:val="22"/>
              </w:rPr>
            </w:pPr>
          </w:p>
          <w:p w14:paraId="37125164" w14:textId="77777777" w:rsidR="009B186E" w:rsidRDefault="009B186E" w:rsidP="008E77A4">
            <w:pPr>
              <w:jc w:val="both"/>
              <w:rPr>
                <w:rFonts w:cs="Arial"/>
                <w:color w:val="585858"/>
                <w:szCs w:val="22"/>
              </w:rPr>
            </w:pPr>
          </w:p>
          <w:p w14:paraId="201CC4AF" w14:textId="0E358A96" w:rsidR="009B186E" w:rsidRPr="005C7DE1" w:rsidRDefault="009B186E" w:rsidP="008E77A4">
            <w:pPr>
              <w:jc w:val="both"/>
              <w:rPr>
                <w:rFonts w:cs="Arial"/>
                <w:color w:val="585858"/>
                <w:szCs w:val="22"/>
              </w:rPr>
            </w:pPr>
          </w:p>
        </w:tc>
      </w:tr>
    </w:tbl>
    <w:p w14:paraId="75CC2D83" w14:textId="00BFA13E" w:rsidR="00E21170" w:rsidRPr="005C7DE1" w:rsidRDefault="00E21170" w:rsidP="00E115C1">
      <w:pPr>
        <w:spacing w:before="240" w:after="0"/>
        <w:rPr>
          <w:rFonts w:cs="Arial"/>
          <w:color w:val="585858"/>
          <w:szCs w:val="22"/>
        </w:rPr>
      </w:pPr>
      <w:r>
        <w:rPr>
          <w:rFonts w:cs="Arial"/>
          <w:b/>
          <w:bCs/>
          <w:color w:val="585858"/>
          <w:szCs w:val="22"/>
        </w:rPr>
        <w:t xml:space="preserve">Confirmation of </w:t>
      </w:r>
      <w:r w:rsidR="00B50994">
        <w:rPr>
          <w:rFonts w:cs="Arial"/>
          <w:b/>
          <w:bCs/>
          <w:color w:val="585858"/>
          <w:szCs w:val="22"/>
        </w:rPr>
        <w:t>s</w:t>
      </w:r>
      <w:r>
        <w:rPr>
          <w:rFonts w:cs="Arial"/>
          <w:b/>
          <w:bCs/>
          <w:color w:val="585858"/>
          <w:szCs w:val="22"/>
        </w:rPr>
        <w:t xml:space="preserve">chool </w:t>
      </w:r>
      <w:r w:rsidR="00B50994">
        <w:rPr>
          <w:rFonts w:cs="Arial"/>
          <w:b/>
          <w:bCs/>
          <w:color w:val="585858"/>
          <w:szCs w:val="22"/>
        </w:rPr>
        <w:t>c</w:t>
      </w:r>
      <w:r>
        <w:rPr>
          <w:rFonts w:cs="Arial"/>
          <w:b/>
          <w:bCs/>
          <w:color w:val="585858"/>
          <w:szCs w:val="22"/>
        </w:rPr>
        <w:t xml:space="preserve">ommitment </w:t>
      </w:r>
      <w:r w:rsidR="00B50994">
        <w:rPr>
          <w:rFonts w:cs="Arial"/>
          <w:color w:val="585858"/>
          <w:szCs w:val="22"/>
        </w:rPr>
        <w:t>(</w:t>
      </w:r>
      <w:r w:rsidR="00040026">
        <w:rPr>
          <w:rFonts w:cs="Arial"/>
          <w:color w:val="585858"/>
          <w:szCs w:val="22"/>
        </w:rPr>
        <w:t xml:space="preserve">in </w:t>
      </w:r>
      <w:r w:rsidR="00B50994" w:rsidRPr="005C7DE1">
        <w:rPr>
          <w:rFonts w:cs="Arial"/>
          <w:color w:val="585858"/>
          <w:szCs w:val="22"/>
        </w:rPr>
        <w:t>understand</w:t>
      </w:r>
      <w:r w:rsidR="00B50994">
        <w:rPr>
          <w:rFonts w:cs="Arial"/>
          <w:color w:val="585858"/>
          <w:szCs w:val="22"/>
        </w:rPr>
        <w:t>ing</w:t>
      </w:r>
      <w:r w:rsidR="00B50994" w:rsidRPr="005C7DE1">
        <w:rPr>
          <w:rFonts w:cs="Arial"/>
          <w:color w:val="585858"/>
          <w:szCs w:val="22"/>
        </w:rPr>
        <w:t xml:space="preserve"> the nature of the role and </w:t>
      </w:r>
      <w:r w:rsidR="00B50994">
        <w:rPr>
          <w:rFonts w:cs="Arial"/>
          <w:color w:val="585858"/>
          <w:szCs w:val="22"/>
        </w:rPr>
        <w:t>commitment</w:t>
      </w:r>
      <w:r w:rsidR="00B50994" w:rsidRPr="005C7DE1">
        <w:rPr>
          <w:rFonts w:cs="Arial"/>
          <w:color w:val="585858"/>
          <w:szCs w:val="22"/>
        </w:rPr>
        <w:t xml:space="preserve"> to provide</w:t>
      </w:r>
      <w:r w:rsidR="00E115C1">
        <w:rPr>
          <w:rFonts w:cs="Arial"/>
          <w:color w:val="585858"/>
          <w:szCs w:val="22"/>
        </w:rPr>
        <w:br/>
      </w:r>
      <w:r w:rsidR="00B50994" w:rsidRPr="005C7DE1">
        <w:rPr>
          <w:rFonts w:cs="Arial"/>
          <w:color w:val="585858"/>
          <w:szCs w:val="22"/>
        </w:rPr>
        <w:t xml:space="preserve">the time required, if </w:t>
      </w:r>
      <w:r w:rsidR="00B50994">
        <w:rPr>
          <w:rFonts w:cs="Arial"/>
          <w:color w:val="585858"/>
          <w:szCs w:val="22"/>
        </w:rPr>
        <w:t xml:space="preserve">appointed) </w:t>
      </w:r>
      <w:r>
        <w:rPr>
          <w:rFonts w:cs="Arial"/>
          <w:b/>
          <w:bCs/>
          <w:color w:val="585858"/>
          <w:szCs w:val="22"/>
        </w:rPr>
        <w:t xml:space="preserve">and </w:t>
      </w:r>
      <w:r w:rsidR="00B50994">
        <w:rPr>
          <w:rFonts w:cs="Arial"/>
          <w:b/>
          <w:bCs/>
          <w:color w:val="585858"/>
          <w:szCs w:val="22"/>
        </w:rPr>
        <w:t>s</w:t>
      </w:r>
      <w:r>
        <w:rPr>
          <w:rFonts w:cs="Arial"/>
          <w:b/>
          <w:bCs/>
          <w:color w:val="585858"/>
          <w:szCs w:val="22"/>
        </w:rPr>
        <w:t xml:space="preserve">tatement of </w:t>
      </w:r>
      <w:r w:rsidR="00B50994">
        <w:rPr>
          <w:rFonts w:cs="Arial"/>
          <w:b/>
          <w:bCs/>
          <w:color w:val="585858"/>
          <w:szCs w:val="22"/>
        </w:rPr>
        <w:t>s</w:t>
      </w:r>
      <w:r>
        <w:rPr>
          <w:rFonts w:cs="Arial"/>
          <w:b/>
          <w:bCs/>
          <w:color w:val="585858"/>
          <w:szCs w:val="22"/>
        </w:rPr>
        <w:t xml:space="preserve">upport for </w:t>
      </w:r>
      <w:r w:rsidR="009B186E">
        <w:rPr>
          <w:rFonts w:cs="Arial"/>
          <w:b/>
          <w:bCs/>
          <w:color w:val="585858"/>
          <w:szCs w:val="22"/>
        </w:rPr>
        <w:t xml:space="preserve">applicant </w:t>
      </w:r>
      <w:r w:rsidR="00200A30">
        <w:rPr>
          <w:rFonts w:cs="Arial"/>
          <w:color w:val="585858"/>
          <w:szCs w:val="22"/>
        </w:rPr>
        <w:br/>
      </w:r>
      <w:r w:rsidRPr="00B50994">
        <w:rPr>
          <w:rFonts w:cs="Arial"/>
          <w:i/>
          <w:color w:val="585858"/>
          <w:szCs w:val="22"/>
        </w:rPr>
        <w:t>(to be completed by Head Teacher – up to 200 words)</w:t>
      </w:r>
    </w:p>
    <w:tbl>
      <w:tblPr>
        <w:tblStyle w:val="TableGrid"/>
        <w:tblW w:w="10206" w:type="dxa"/>
        <w:tblInd w:w="137" w:type="dxa"/>
        <w:tblLook w:val="04A0" w:firstRow="1" w:lastRow="0" w:firstColumn="1" w:lastColumn="0" w:noHBand="0" w:noVBand="1"/>
      </w:tblPr>
      <w:tblGrid>
        <w:gridCol w:w="10206"/>
      </w:tblGrid>
      <w:tr w:rsidR="00E21170" w:rsidRPr="005C7DE1" w14:paraId="342A5B7E" w14:textId="77777777" w:rsidTr="00E115C1">
        <w:trPr>
          <w:trHeight w:val="1287"/>
        </w:trPr>
        <w:tc>
          <w:tcPr>
            <w:tcW w:w="10206" w:type="dxa"/>
          </w:tcPr>
          <w:p w14:paraId="49814A84" w14:textId="77777777" w:rsidR="00E21170" w:rsidRDefault="00E21170" w:rsidP="00C12790">
            <w:pPr>
              <w:rPr>
                <w:rFonts w:cs="Arial"/>
                <w:color w:val="585858"/>
                <w:szCs w:val="22"/>
              </w:rPr>
            </w:pPr>
          </w:p>
          <w:p w14:paraId="2D645C2E" w14:textId="77777777" w:rsidR="009B186E" w:rsidRDefault="009B186E" w:rsidP="00C12790">
            <w:pPr>
              <w:rPr>
                <w:rFonts w:cs="Arial"/>
                <w:color w:val="585858"/>
                <w:szCs w:val="22"/>
              </w:rPr>
            </w:pPr>
          </w:p>
          <w:p w14:paraId="3BF8A809" w14:textId="77777777" w:rsidR="009B186E" w:rsidRDefault="009B186E" w:rsidP="00C12790">
            <w:pPr>
              <w:rPr>
                <w:rFonts w:cs="Arial"/>
                <w:color w:val="585858"/>
                <w:szCs w:val="22"/>
              </w:rPr>
            </w:pPr>
          </w:p>
          <w:p w14:paraId="01E7C983" w14:textId="7E3114D2" w:rsidR="009B186E" w:rsidRPr="005C7DE1" w:rsidRDefault="009B186E" w:rsidP="00C12790">
            <w:pPr>
              <w:rPr>
                <w:rFonts w:cs="Arial"/>
                <w:color w:val="585858"/>
                <w:szCs w:val="22"/>
              </w:rPr>
            </w:pPr>
          </w:p>
        </w:tc>
      </w:tr>
    </w:tbl>
    <w:p w14:paraId="5F50F887" w14:textId="77777777" w:rsidR="00040026" w:rsidRDefault="00040026" w:rsidP="00E115C1">
      <w:pPr>
        <w:spacing w:before="240" w:after="0"/>
        <w:jc w:val="both"/>
        <w:rPr>
          <w:rFonts w:cs="Arial"/>
          <w:b/>
          <w:color w:val="585858"/>
          <w:szCs w:val="22"/>
        </w:rPr>
      </w:pPr>
    </w:p>
    <w:p w14:paraId="33373698" w14:textId="49D59443" w:rsidR="00E95346" w:rsidRPr="005C7DE1" w:rsidRDefault="00E95346" w:rsidP="00E115C1">
      <w:pPr>
        <w:spacing w:before="240" w:after="0"/>
        <w:jc w:val="both"/>
        <w:rPr>
          <w:rFonts w:cs="Arial"/>
          <w:b/>
          <w:color w:val="585858"/>
          <w:szCs w:val="22"/>
        </w:rPr>
      </w:pPr>
      <w:r w:rsidRPr="005C7DE1">
        <w:rPr>
          <w:rFonts w:cs="Arial"/>
          <w:b/>
          <w:color w:val="585858"/>
          <w:szCs w:val="22"/>
        </w:rPr>
        <w:lastRenderedPageBreak/>
        <w:t xml:space="preserve">Confirmation of </w:t>
      </w:r>
      <w:r w:rsidR="009B186E">
        <w:rPr>
          <w:rFonts w:cs="Arial"/>
          <w:b/>
          <w:color w:val="585858"/>
          <w:szCs w:val="22"/>
        </w:rPr>
        <w:t>applicant/Headt</w:t>
      </w:r>
      <w:r w:rsidR="00B50994">
        <w:rPr>
          <w:rFonts w:cs="Arial"/>
          <w:b/>
          <w:color w:val="585858"/>
          <w:szCs w:val="22"/>
        </w:rPr>
        <w:t>eacher</w:t>
      </w:r>
      <w:r w:rsidRPr="005C7DE1">
        <w:rPr>
          <w:rFonts w:cs="Arial"/>
          <w:b/>
          <w:color w:val="585858"/>
          <w:szCs w:val="22"/>
        </w:rPr>
        <w:t xml:space="preserve"> (electronic signatures) </w:t>
      </w:r>
    </w:p>
    <w:p w14:paraId="0112F72C" w14:textId="60F38788" w:rsidR="00E95346" w:rsidRPr="005C7DE1" w:rsidRDefault="00E95346" w:rsidP="00E115C1">
      <w:pPr>
        <w:spacing w:after="120"/>
        <w:jc w:val="both"/>
        <w:rPr>
          <w:rFonts w:cs="Arial"/>
          <w:color w:val="585858"/>
          <w:szCs w:val="22"/>
        </w:rPr>
      </w:pPr>
    </w:p>
    <w:tbl>
      <w:tblPr>
        <w:tblStyle w:val="TableGrid"/>
        <w:tblW w:w="10235" w:type="dxa"/>
        <w:tblInd w:w="108" w:type="dxa"/>
        <w:tblLook w:val="04A0" w:firstRow="1" w:lastRow="0" w:firstColumn="1" w:lastColumn="0" w:noHBand="0" w:noVBand="1"/>
      </w:tblPr>
      <w:tblGrid>
        <w:gridCol w:w="2224"/>
        <w:gridCol w:w="8011"/>
      </w:tblGrid>
      <w:tr w:rsidR="00E95346" w:rsidRPr="005C7DE1" w14:paraId="1B1846DE" w14:textId="77777777" w:rsidTr="00083B88">
        <w:tc>
          <w:tcPr>
            <w:tcW w:w="1843" w:type="dxa"/>
            <w:vAlign w:val="center"/>
          </w:tcPr>
          <w:p w14:paraId="29A9D94F" w14:textId="6515FD41" w:rsidR="00E95346" w:rsidRPr="005C7DE1" w:rsidRDefault="009B186E" w:rsidP="00E115C1">
            <w:pPr>
              <w:autoSpaceDN w:val="0"/>
              <w:jc w:val="both"/>
              <w:textAlignment w:val="baseline"/>
              <w:rPr>
                <w:rFonts w:cs="Arial"/>
                <w:color w:val="585858"/>
                <w:szCs w:val="22"/>
              </w:rPr>
            </w:pPr>
            <w:r>
              <w:rPr>
                <w:rFonts w:cs="Arial"/>
                <w:color w:val="585858"/>
                <w:szCs w:val="22"/>
              </w:rPr>
              <w:t>Headt</w:t>
            </w:r>
            <w:r w:rsidR="00E95346" w:rsidRPr="005C7DE1">
              <w:rPr>
                <w:rFonts w:cs="Arial"/>
                <w:color w:val="585858"/>
                <w:szCs w:val="22"/>
              </w:rPr>
              <w:t>eacher</w:t>
            </w:r>
            <w:r>
              <w:rPr>
                <w:rFonts w:cs="Arial"/>
                <w:color w:val="585858"/>
                <w:szCs w:val="22"/>
              </w:rPr>
              <w:t>/Principal</w:t>
            </w:r>
            <w:r w:rsidR="00E95346" w:rsidRPr="005C7DE1">
              <w:rPr>
                <w:rFonts w:cs="Arial"/>
                <w:color w:val="585858"/>
                <w:szCs w:val="22"/>
              </w:rPr>
              <w:t xml:space="preserve"> </w:t>
            </w:r>
          </w:p>
        </w:tc>
        <w:tc>
          <w:tcPr>
            <w:tcW w:w="8392" w:type="dxa"/>
            <w:vAlign w:val="center"/>
          </w:tcPr>
          <w:p w14:paraId="74026637" w14:textId="4D5342E7" w:rsidR="00E95346" w:rsidRPr="005C7DE1" w:rsidRDefault="00E95346" w:rsidP="00E115C1">
            <w:pPr>
              <w:autoSpaceDN w:val="0"/>
              <w:jc w:val="both"/>
              <w:textAlignment w:val="baseline"/>
              <w:rPr>
                <w:rFonts w:cs="Arial"/>
                <w:i/>
                <w:color w:val="585858"/>
                <w:szCs w:val="22"/>
              </w:rPr>
            </w:pPr>
          </w:p>
        </w:tc>
      </w:tr>
      <w:tr w:rsidR="00040026" w:rsidRPr="005C7DE1" w14:paraId="594DB897" w14:textId="77777777" w:rsidTr="00083B88">
        <w:tc>
          <w:tcPr>
            <w:tcW w:w="1843" w:type="dxa"/>
            <w:vAlign w:val="center"/>
          </w:tcPr>
          <w:p w14:paraId="16EF41AD" w14:textId="2BB92DFF" w:rsidR="00040026" w:rsidRPr="005C7DE1" w:rsidRDefault="00040026" w:rsidP="00E115C1">
            <w:pPr>
              <w:jc w:val="both"/>
              <w:rPr>
                <w:rFonts w:cs="Arial"/>
                <w:color w:val="585858"/>
                <w:szCs w:val="22"/>
              </w:rPr>
            </w:pPr>
            <w:r>
              <w:rPr>
                <w:rFonts w:cs="Arial"/>
                <w:color w:val="585858"/>
                <w:szCs w:val="22"/>
              </w:rPr>
              <w:t>Dated</w:t>
            </w:r>
          </w:p>
        </w:tc>
        <w:tc>
          <w:tcPr>
            <w:tcW w:w="8392" w:type="dxa"/>
            <w:vAlign w:val="center"/>
          </w:tcPr>
          <w:p w14:paraId="73B747E3" w14:textId="0E3A6566" w:rsidR="00040026" w:rsidRPr="005C7DE1" w:rsidRDefault="00040026" w:rsidP="00E115C1">
            <w:pPr>
              <w:jc w:val="both"/>
              <w:rPr>
                <w:rFonts w:cs="Arial"/>
                <w:i/>
                <w:color w:val="585858"/>
                <w:szCs w:val="22"/>
              </w:rPr>
            </w:pPr>
          </w:p>
        </w:tc>
      </w:tr>
      <w:tr w:rsidR="00E95346" w:rsidRPr="005C7DE1" w14:paraId="6DBE321F" w14:textId="77777777" w:rsidTr="00083B88">
        <w:tc>
          <w:tcPr>
            <w:tcW w:w="1843" w:type="dxa"/>
            <w:vAlign w:val="center"/>
          </w:tcPr>
          <w:p w14:paraId="0D6361EE" w14:textId="024C2341" w:rsidR="00E95346" w:rsidRPr="005C7DE1" w:rsidRDefault="00E95346" w:rsidP="00E115C1">
            <w:pPr>
              <w:autoSpaceDN w:val="0"/>
              <w:jc w:val="both"/>
              <w:textAlignment w:val="baseline"/>
              <w:rPr>
                <w:rFonts w:cs="Arial"/>
                <w:color w:val="585858"/>
                <w:szCs w:val="22"/>
              </w:rPr>
            </w:pPr>
            <w:r w:rsidRPr="005C7DE1">
              <w:rPr>
                <w:rFonts w:cs="Arial"/>
                <w:color w:val="585858"/>
                <w:szCs w:val="22"/>
              </w:rPr>
              <w:t>AMHL applicant</w:t>
            </w:r>
          </w:p>
        </w:tc>
        <w:tc>
          <w:tcPr>
            <w:tcW w:w="8392" w:type="dxa"/>
            <w:vAlign w:val="center"/>
          </w:tcPr>
          <w:p w14:paraId="38B0B28A" w14:textId="7150A67C" w:rsidR="00E95346" w:rsidRPr="005C7DE1" w:rsidRDefault="00E95346" w:rsidP="00E115C1">
            <w:pPr>
              <w:autoSpaceDN w:val="0"/>
              <w:jc w:val="both"/>
              <w:textAlignment w:val="baseline"/>
              <w:rPr>
                <w:rFonts w:cs="Arial"/>
                <w:i/>
                <w:color w:val="585858"/>
                <w:szCs w:val="22"/>
              </w:rPr>
            </w:pPr>
          </w:p>
        </w:tc>
      </w:tr>
      <w:tr w:rsidR="00040026" w:rsidRPr="005C7DE1" w14:paraId="743661B6" w14:textId="77777777" w:rsidTr="00083B88">
        <w:tc>
          <w:tcPr>
            <w:tcW w:w="1843" w:type="dxa"/>
            <w:vAlign w:val="center"/>
          </w:tcPr>
          <w:p w14:paraId="3F2D543D" w14:textId="7A26616B" w:rsidR="00040026" w:rsidRPr="005C7DE1" w:rsidRDefault="00040026" w:rsidP="00E115C1">
            <w:pPr>
              <w:jc w:val="both"/>
              <w:rPr>
                <w:rFonts w:cs="Arial"/>
                <w:color w:val="585858"/>
                <w:szCs w:val="22"/>
              </w:rPr>
            </w:pPr>
            <w:r>
              <w:rPr>
                <w:rFonts w:cs="Arial"/>
                <w:color w:val="585858"/>
                <w:szCs w:val="22"/>
              </w:rPr>
              <w:t>Dated</w:t>
            </w:r>
          </w:p>
        </w:tc>
        <w:tc>
          <w:tcPr>
            <w:tcW w:w="8392" w:type="dxa"/>
            <w:vAlign w:val="center"/>
          </w:tcPr>
          <w:p w14:paraId="490587C5" w14:textId="3E0FD83C" w:rsidR="00040026" w:rsidRPr="005C7DE1" w:rsidRDefault="00040026" w:rsidP="00E115C1">
            <w:pPr>
              <w:jc w:val="both"/>
              <w:rPr>
                <w:rFonts w:cs="Arial"/>
                <w:i/>
                <w:color w:val="585858"/>
                <w:szCs w:val="22"/>
              </w:rPr>
            </w:pPr>
          </w:p>
        </w:tc>
      </w:tr>
    </w:tbl>
    <w:p w14:paraId="2C87F226" w14:textId="730E8C76" w:rsidR="00E95346" w:rsidRPr="005C7DE1" w:rsidRDefault="00E95346" w:rsidP="00E115C1">
      <w:pPr>
        <w:spacing w:before="240"/>
        <w:jc w:val="both"/>
        <w:rPr>
          <w:rFonts w:cs="Arial"/>
          <w:color w:val="585858"/>
          <w:szCs w:val="22"/>
        </w:rPr>
      </w:pPr>
      <w:r w:rsidRPr="005C7DE1">
        <w:rPr>
          <w:rFonts w:cs="Arial"/>
          <w:i/>
          <w:color w:val="585858"/>
          <w:szCs w:val="22"/>
        </w:rPr>
        <w:t xml:space="preserve">(Note: When the form is emailed, please </w:t>
      </w:r>
      <w:r w:rsidR="00C4621D">
        <w:rPr>
          <w:rFonts w:cs="Arial"/>
          <w:i/>
          <w:color w:val="585858"/>
          <w:szCs w:val="22"/>
        </w:rPr>
        <w:t>cc</w:t>
      </w:r>
      <w:r w:rsidRPr="005C7DE1">
        <w:rPr>
          <w:rFonts w:cs="Arial"/>
          <w:i/>
          <w:color w:val="585858"/>
          <w:szCs w:val="22"/>
        </w:rPr>
        <w:t xml:space="preserve"> all signatories as confirmation of their electronic signature)</w:t>
      </w:r>
    </w:p>
    <w:sectPr w:rsidR="00E95346" w:rsidRPr="005C7DE1" w:rsidSect="004A6B94">
      <w:pgSz w:w="11906" w:h="16838"/>
      <w:pgMar w:top="1276" w:right="720" w:bottom="720" w:left="720"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0E89" w14:textId="77777777" w:rsidR="00FA0C73" w:rsidRDefault="00FA0C73">
      <w:pPr>
        <w:spacing w:after="0" w:line="240" w:lineRule="auto"/>
      </w:pPr>
      <w:r>
        <w:separator/>
      </w:r>
    </w:p>
  </w:endnote>
  <w:endnote w:type="continuationSeparator" w:id="0">
    <w:p w14:paraId="14CC97F4" w14:textId="77777777" w:rsidR="00FA0C73" w:rsidRDefault="00F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DFBD" w14:textId="0F44084A" w:rsidR="00FA0C73" w:rsidRDefault="00FA0C73">
    <w:pPr>
      <w:pStyle w:val="BodyText"/>
      <w:tabs>
        <w:tab w:val="center" w:pos="4820"/>
        <w:tab w:val="right" w:pos="9746"/>
      </w:tabs>
    </w:pPr>
    <w:r>
      <w:rPr>
        <w:szCs w:val="20"/>
      </w:rPr>
      <w:tab/>
    </w:r>
    <w:r>
      <w:fldChar w:fldCharType="begin"/>
    </w:r>
    <w:r>
      <w:instrText xml:space="preserve"> PAGE </w:instrText>
    </w:r>
    <w:r>
      <w:fldChar w:fldCharType="separate"/>
    </w:r>
    <w:r w:rsidR="00B741E1">
      <w:rPr>
        <w:noProof/>
      </w:rPr>
      <w:t>5</w:t>
    </w:r>
    <w:r>
      <w:fldChar w:fldCharType="end"/>
    </w:r>
  </w:p>
  <w:p w14:paraId="778CDFBE" w14:textId="77777777" w:rsidR="00FA0C73" w:rsidRDefault="00FA0C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42F5" w14:textId="77777777" w:rsidR="00FA0C73" w:rsidRDefault="00FA0C73">
      <w:pPr>
        <w:spacing w:after="0" w:line="240" w:lineRule="auto"/>
      </w:pPr>
      <w:r>
        <w:rPr>
          <w:color w:val="000000"/>
        </w:rPr>
        <w:separator/>
      </w:r>
    </w:p>
  </w:footnote>
  <w:footnote w:type="continuationSeparator" w:id="0">
    <w:p w14:paraId="700AFA15" w14:textId="77777777" w:rsidR="00FA0C73" w:rsidRDefault="00FA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C516" w14:textId="0CCE0674" w:rsidR="00FA0C73" w:rsidRDefault="0089338E" w:rsidP="00DC0387">
    <w:pPr>
      <w:pStyle w:val="Header"/>
    </w:pPr>
    <w:r>
      <w:rPr>
        <w:noProof/>
      </w:rPr>
      <w:drawing>
        <wp:anchor distT="0" distB="0" distL="114300" distR="114300" simplePos="0" relativeHeight="251658240" behindDoc="0" locked="0" layoutInCell="1" allowOverlap="1" wp14:anchorId="622CDD15" wp14:editId="396249BC">
          <wp:simplePos x="0" y="0"/>
          <wp:positionH relativeFrom="margin">
            <wp:posOffset>3949276</wp:posOffset>
          </wp:positionH>
          <wp:positionV relativeFrom="paragraph">
            <wp:posOffset>23495</wp:posOffset>
          </wp:positionV>
          <wp:extent cx="2091690" cy="666750"/>
          <wp:effectExtent l="0" t="0" r="381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6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FBC48AC" wp14:editId="2044FE27">
          <wp:simplePos x="0" y="0"/>
          <wp:positionH relativeFrom="column">
            <wp:posOffset>-585894</wp:posOffset>
          </wp:positionH>
          <wp:positionV relativeFrom="paragraph">
            <wp:posOffset>163407</wp:posOffset>
          </wp:positionV>
          <wp:extent cx="1615440" cy="520700"/>
          <wp:effectExtent l="0" t="0" r="381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615440" cy="520700"/>
                  </a:xfrm>
                  <a:prstGeom prst="rect">
                    <a:avLst/>
                  </a:prstGeom>
                </pic:spPr>
              </pic:pic>
            </a:graphicData>
          </a:graphic>
        </wp:anchor>
      </w:drawing>
    </w:r>
    <w:r w:rsidR="00FA0C73" w:rsidRPr="7437753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D749" w14:textId="1665D3AA" w:rsidR="00FA0C73" w:rsidRDefault="00FA0C73" w:rsidP="003A3F57">
    <w:pPr>
      <w:pStyle w:val="Header"/>
      <w:tabs>
        <w:tab w:val="clear" w:pos="4513"/>
        <w:tab w:val="clear" w:pos="9026"/>
        <w:tab w:val="left" w:pos="7764"/>
      </w:tabs>
    </w:pPr>
    <w:r>
      <w:rPr>
        <w:noProof/>
      </w:rPr>
      <w:drawing>
        <wp:anchor distT="0" distB="0" distL="114300" distR="114300" simplePos="0" relativeHeight="251663360" behindDoc="0" locked="0" layoutInCell="1" allowOverlap="1" wp14:anchorId="180AC00F" wp14:editId="1AD7BD00">
          <wp:simplePos x="0" y="0"/>
          <wp:positionH relativeFrom="column">
            <wp:posOffset>3954780</wp:posOffset>
          </wp:positionH>
          <wp:positionV relativeFrom="paragraph">
            <wp:posOffset>75565</wp:posOffset>
          </wp:positionV>
          <wp:extent cx="2091690" cy="666750"/>
          <wp:effectExtent l="0" t="0" r="381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6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023F" w14:textId="0CEAB0F3" w:rsidR="00FA0C73" w:rsidRDefault="0089338E" w:rsidP="00FF441D">
    <w:pPr>
      <w:pStyle w:val="Header"/>
    </w:pPr>
    <w:r>
      <w:rPr>
        <w:noProof/>
      </w:rPr>
      <w:drawing>
        <wp:anchor distT="0" distB="0" distL="114300" distR="114300" simplePos="0" relativeHeight="251660288" behindDoc="0" locked="0" layoutInCell="1" allowOverlap="1" wp14:anchorId="30B621A1" wp14:editId="45E50499">
          <wp:simplePos x="0" y="0"/>
          <wp:positionH relativeFrom="column">
            <wp:posOffset>-558800</wp:posOffset>
          </wp:positionH>
          <wp:positionV relativeFrom="paragraph">
            <wp:posOffset>132928</wp:posOffset>
          </wp:positionV>
          <wp:extent cx="1676400" cy="539638"/>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76400" cy="5396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25E39B" wp14:editId="232A7DB0">
          <wp:simplePos x="0" y="0"/>
          <wp:positionH relativeFrom="margin">
            <wp:posOffset>3909060</wp:posOffset>
          </wp:positionH>
          <wp:positionV relativeFrom="paragraph">
            <wp:posOffset>1905</wp:posOffset>
          </wp:positionV>
          <wp:extent cx="2150110" cy="685800"/>
          <wp:effectExtent l="0" t="0" r="254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50110" cy="685800"/>
                  </a:xfrm>
                  <a:prstGeom prst="rect">
                    <a:avLst/>
                  </a:prstGeom>
                </pic:spPr>
              </pic:pic>
            </a:graphicData>
          </a:graphic>
        </wp:anchor>
      </w:drawing>
    </w:r>
    <w:r w:rsidR="00FA0C73" w:rsidRPr="743775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679"/>
    <w:multiLevelType w:val="multilevel"/>
    <w:tmpl w:val="AD529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76E98"/>
    <w:multiLevelType w:val="hybridMultilevel"/>
    <w:tmpl w:val="EE0857B6"/>
    <w:lvl w:ilvl="0" w:tplc="0BECC17E">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86520"/>
    <w:multiLevelType w:val="hybridMultilevel"/>
    <w:tmpl w:val="8B8855C4"/>
    <w:lvl w:ilvl="0" w:tplc="BCF6AD46">
      <w:start w:val="1"/>
      <w:numFmt w:val="bullet"/>
      <w:lvlText w:val="·"/>
      <w:lvlJc w:val="left"/>
      <w:pPr>
        <w:ind w:left="720" w:hanging="360"/>
      </w:pPr>
      <w:rPr>
        <w:rFonts w:ascii="Symbol" w:hAnsi="Symbol" w:hint="default"/>
      </w:rPr>
    </w:lvl>
    <w:lvl w:ilvl="1" w:tplc="FC9A2504">
      <w:start w:val="1"/>
      <w:numFmt w:val="bullet"/>
      <w:lvlText w:val="o"/>
      <w:lvlJc w:val="left"/>
      <w:pPr>
        <w:ind w:left="1440" w:hanging="360"/>
      </w:pPr>
      <w:rPr>
        <w:rFonts w:ascii="Courier New" w:hAnsi="Courier New" w:hint="default"/>
      </w:rPr>
    </w:lvl>
    <w:lvl w:ilvl="2" w:tplc="74FEB310">
      <w:start w:val="1"/>
      <w:numFmt w:val="bullet"/>
      <w:lvlText w:val=""/>
      <w:lvlJc w:val="left"/>
      <w:pPr>
        <w:ind w:left="2160" w:hanging="360"/>
      </w:pPr>
      <w:rPr>
        <w:rFonts w:ascii="Wingdings" w:hAnsi="Wingdings" w:hint="default"/>
      </w:rPr>
    </w:lvl>
    <w:lvl w:ilvl="3" w:tplc="F71224D8">
      <w:start w:val="1"/>
      <w:numFmt w:val="bullet"/>
      <w:lvlText w:val=""/>
      <w:lvlJc w:val="left"/>
      <w:pPr>
        <w:ind w:left="2880" w:hanging="360"/>
      </w:pPr>
      <w:rPr>
        <w:rFonts w:ascii="Symbol" w:hAnsi="Symbol" w:hint="default"/>
      </w:rPr>
    </w:lvl>
    <w:lvl w:ilvl="4" w:tplc="F7F2B6CA">
      <w:start w:val="1"/>
      <w:numFmt w:val="bullet"/>
      <w:lvlText w:val="o"/>
      <w:lvlJc w:val="left"/>
      <w:pPr>
        <w:ind w:left="3600" w:hanging="360"/>
      </w:pPr>
      <w:rPr>
        <w:rFonts w:ascii="Courier New" w:hAnsi="Courier New" w:hint="default"/>
      </w:rPr>
    </w:lvl>
    <w:lvl w:ilvl="5" w:tplc="EC6A3D4C">
      <w:start w:val="1"/>
      <w:numFmt w:val="bullet"/>
      <w:lvlText w:val=""/>
      <w:lvlJc w:val="left"/>
      <w:pPr>
        <w:ind w:left="4320" w:hanging="360"/>
      </w:pPr>
      <w:rPr>
        <w:rFonts w:ascii="Wingdings" w:hAnsi="Wingdings" w:hint="default"/>
      </w:rPr>
    </w:lvl>
    <w:lvl w:ilvl="6" w:tplc="016E34AC">
      <w:start w:val="1"/>
      <w:numFmt w:val="bullet"/>
      <w:lvlText w:val=""/>
      <w:lvlJc w:val="left"/>
      <w:pPr>
        <w:ind w:left="5040" w:hanging="360"/>
      </w:pPr>
      <w:rPr>
        <w:rFonts w:ascii="Symbol" w:hAnsi="Symbol" w:hint="default"/>
      </w:rPr>
    </w:lvl>
    <w:lvl w:ilvl="7" w:tplc="2B7CBF6A">
      <w:start w:val="1"/>
      <w:numFmt w:val="bullet"/>
      <w:lvlText w:val="o"/>
      <w:lvlJc w:val="left"/>
      <w:pPr>
        <w:ind w:left="5760" w:hanging="360"/>
      </w:pPr>
      <w:rPr>
        <w:rFonts w:ascii="Courier New" w:hAnsi="Courier New" w:hint="default"/>
      </w:rPr>
    </w:lvl>
    <w:lvl w:ilvl="8" w:tplc="BE8C72EC">
      <w:start w:val="1"/>
      <w:numFmt w:val="bullet"/>
      <w:lvlText w:val=""/>
      <w:lvlJc w:val="left"/>
      <w:pPr>
        <w:ind w:left="6480" w:hanging="360"/>
      </w:pPr>
      <w:rPr>
        <w:rFonts w:ascii="Wingdings" w:hAnsi="Wingdings" w:hint="default"/>
      </w:rPr>
    </w:lvl>
  </w:abstractNum>
  <w:abstractNum w:abstractNumId="4" w15:restartNumberingAfterBreak="0">
    <w:nsid w:val="2963757C"/>
    <w:multiLevelType w:val="multilevel"/>
    <w:tmpl w:val="F2BA4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2E4F7B"/>
    <w:multiLevelType w:val="multilevel"/>
    <w:tmpl w:val="DBB0A8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E9016C5"/>
    <w:multiLevelType w:val="multilevel"/>
    <w:tmpl w:val="8104D8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4D17E7"/>
    <w:multiLevelType w:val="multilevel"/>
    <w:tmpl w:val="39EC80F6"/>
    <w:styleLink w:val="LFO40"/>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511254CC"/>
    <w:multiLevelType w:val="multilevel"/>
    <w:tmpl w:val="AD06539E"/>
    <w:styleLink w:val="LFO3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51310E82"/>
    <w:multiLevelType w:val="hybridMultilevel"/>
    <w:tmpl w:val="6240BC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4FC01BC"/>
    <w:multiLevelType w:val="hybridMultilevel"/>
    <w:tmpl w:val="BE0C81C0"/>
    <w:lvl w:ilvl="0" w:tplc="4E40467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AE7CA2"/>
    <w:multiLevelType w:val="hybridMultilevel"/>
    <w:tmpl w:val="074E9320"/>
    <w:lvl w:ilvl="0" w:tplc="FFFFFFFF">
      <w:start w:val="1"/>
      <w:numFmt w:val="bullet"/>
      <w:lvlText w:val=""/>
      <w:lvlJc w:val="left"/>
      <w:pPr>
        <w:ind w:left="360" w:hanging="360"/>
      </w:pPr>
      <w:rPr>
        <w:rFonts w:ascii="Symbol" w:hAnsi="Symbol" w:hint="default"/>
        <w:i w:val="0"/>
        <w:sz w:val="22"/>
        <w:szCs w:val="2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C0315"/>
    <w:multiLevelType w:val="multilevel"/>
    <w:tmpl w:val="B2E8251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77704EC"/>
    <w:multiLevelType w:val="multilevel"/>
    <w:tmpl w:val="DFDEF9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E8233BD"/>
    <w:multiLevelType w:val="multilevel"/>
    <w:tmpl w:val="40485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BB494E"/>
    <w:multiLevelType w:val="hybridMultilevel"/>
    <w:tmpl w:val="CC544A2A"/>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AD5F24"/>
    <w:multiLevelType w:val="multilevel"/>
    <w:tmpl w:val="42A4F4D2"/>
    <w:styleLink w:val="LFO6"/>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DE04ECF"/>
    <w:multiLevelType w:val="multilevel"/>
    <w:tmpl w:val="51F8FA0A"/>
    <w:styleLink w:val="LFO1"/>
    <w:lvl w:ilvl="0">
      <w:numFmt w:val="bullet"/>
      <w:pStyle w:val="DeptBullets"/>
      <w:lvlText w:val=""/>
      <w:lvlJc w:val="left"/>
      <w:pPr>
        <w:ind w:left="709" w:hanging="360"/>
      </w:pPr>
      <w:rPr>
        <w:rFonts w:ascii="Wingdings" w:hAnsi="Wingdings"/>
        <w:color w:val="104F7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9A34DE"/>
    <w:multiLevelType w:val="hybridMultilevel"/>
    <w:tmpl w:val="A82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0"/>
  </w:num>
  <w:num w:numId="4">
    <w:abstractNumId w:val="5"/>
  </w:num>
  <w:num w:numId="5">
    <w:abstractNumId w:val="6"/>
  </w:num>
  <w:num w:numId="6">
    <w:abstractNumId w:val="4"/>
  </w:num>
  <w:num w:numId="7">
    <w:abstractNumId w:val="18"/>
  </w:num>
  <w:num w:numId="8">
    <w:abstractNumId w:val="16"/>
  </w:num>
  <w:num w:numId="9">
    <w:abstractNumId w:val="8"/>
  </w:num>
  <w:num w:numId="10">
    <w:abstractNumId w:val="7"/>
  </w:num>
  <w:num w:numId="11">
    <w:abstractNumId w:val="17"/>
  </w:num>
  <w:num w:numId="12">
    <w:abstractNumId w:val="19"/>
  </w:num>
  <w:num w:numId="13">
    <w:abstractNumId w:val="1"/>
  </w:num>
  <w:num w:numId="14">
    <w:abstractNumId w:val="15"/>
  </w:num>
  <w:num w:numId="15">
    <w:abstractNumId w:val="11"/>
  </w:num>
  <w:num w:numId="16">
    <w:abstractNumId w:val="9"/>
  </w:num>
  <w:num w:numId="17">
    <w:abstractNumId w:val="2"/>
  </w:num>
  <w:num w:numId="18">
    <w:abstractNumId w:val="10"/>
  </w:num>
  <w:num w:numId="19">
    <w:abstractNumId w:val="17"/>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4F"/>
    <w:rsid w:val="0000331F"/>
    <w:rsid w:val="00012F56"/>
    <w:rsid w:val="00013F1F"/>
    <w:rsid w:val="00014B87"/>
    <w:rsid w:val="00040026"/>
    <w:rsid w:val="000710E5"/>
    <w:rsid w:val="0007406A"/>
    <w:rsid w:val="00083B88"/>
    <w:rsid w:val="0009109A"/>
    <w:rsid w:val="000968D0"/>
    <w:rsid w:val="000B148E"/>
    <w:rsid w:val="000B1DCC"/>
    <w:rsid w:val="000C0243"/>
    <w:rsid w:val="000C14AD"/>
    <w:rsid w:val="000F0C68"/>
    <w:rsid w:val="000F2A3B"/>
    <w:rsid w:val="000F2CA5"/>
    <w:rsid w:val="00116E44"/>
    <w:rsid w:val="00127ADA"/>
    <w:rsid w:val="0014712C"/>
    <w:rsid w:val="0017165C"/>
    <w:rsid w:val="0017320B"/>
    <w:rsid w:val="00186AAF"/>
    <w:rsid w:val="00196716"/>
    <w:rsid w:val="00197EC7"/>
    <w:rsid w:val="001B5A1A"/>
    <w:rsid w:val="001B6970"/>
    <w:rsid w:val="001C1918"/>
    <w:rsid w:val="001C3F2E"/>
    <w:rsid w:val="001C6DEC"/>
    <w:rsid w:val="001E299C"/>
    <w:rsid w:val="001E2E70"/>
    <w:rsid w:val="001F26EE"/>
    <w:rsid w:val="00200A30"/>
    <w:rsid w:val="002443A7"/>
    <w:rsid w:val="00265FFD"/>
    <w:rsid w:val="002777DE"/>
    <w:rsid w:val="00295C51"/>
    <w:rsid w:val="002A2CCA"/>
    <w:rsid w:val="002B3C4E"/>
    <w:rsid w:val="002B49BD"/>
    <w:rsid w:val="002D0ED7"/>
    <w:rsid w:val="002E4698"/>
    <w:rsid w:val="002E58C2"/>
    <w:rsid w:val="003265BF"/>
    <w:rsid w:val="00395C7C"/>
    <w:rsid w:val="003A1749"/>
    <w:rsid w:val="003A3F57"/>
    <w:rsid w:val="003A5E06"/>
    <w:rsid w:val="003C11EF"/>
    <w:rsid w:val="003C3E58"/>
    <w:rsid w:val="003E2895"/>
    <w:rsid w:val="00400E1C"/>
    <w:rsid w:val="00410A9B"/>
    <w:rsid w:val="0041315A"/>
    <w:rsid w:val="00414CC6"/>
    <w:rsid w:val="00436676"/>
    <w:rsid w:val="004738B9"/>
    <w:rsid w:val="004824A4"/>
    <w:rsid w:val="00490FAB"/>
    <w:rsid w:val="004A6B94"/>
    <w:rsid w:val="004B1533"/>
    <w:rsid w:val="004C54AB"/>
    <w:rsid w:val="004D1059"/>
    <w:rsid w:val="004E10FB"/>
    <w:rsid w:val="004E2E62"/>
    <w:rsid w:val="004F708E"/>
    <w:rsid w:val="0051353F"/>
    <w:rsid w:val="00515BFB"/>
    <w:rsid w:val="00542C01"/>
    <w:rsid w:val="00542E4A"/>
    <w:rsid w:val="00553223"/>
    <w:rsid w:val="00571D9A"/>
    <w:rsid w:val="00572C88"/>
    <w:rsid w:val="005769D8"/>
    <w:rsid w:val="005841B3"/>
    <w:rsid w:val="005867F9"/>
    <w:rsid w:val="00594E8C"/>
    <w:rsid w:val="00595FCA"/>
    <w:rsid w:val="005A041C"/>
    <w:rsid w:val="005C7DE1"/>
    <w:rsid w:val="005D0E9F"/>
    <w:rsid w:val="005D43AF"/>
    <w:rsid w:val="005E36F1"/>
    <w:rsid w:val="00601AA7"/>
    <w:rsid w:val="00612998"/>
    <w:rsid w:val="0062009A"/>
    <w:rsid w:val="00636832"/>
    <w:rsid w:val="006723E9"/>
    <w:rsid w:val="00696E1C"/>
    <w:rsid w:val="006A3B52"/>
    <w:rsid w:val="006C22E8"/>
    <w:rsid w:val="006D28FA"/>
    <w:rsid w:val="006D55E5"/>
    <w:rsid w:val="006F0C5C"/>
    <w:rsid w:val="006F5EE2"/>
    <w:rsid w:val="00704D4F"/>
    <w:rsid w:val="00722651"/>
    <w:rsid w:val="00726BF1"/>
    <w:rsid w:val="00732C5D"/>
    <w:rsid w:val="00734C99"/>
    <w:rsid w:val="007672B8"/>
    <w:rsid w:val="00773A0D"/>
    <w:rsid w:val="007774E3"/>
    <w:rsid w:val="00784CF3"/>
    <w:rsid w:val="00794C89"/>
    <w:rsid w:val="00796345"/>
    <w:rsid w:val="007D73BF"/>
    <w:rsid w:val="007F457B"/>
    <w:rsid w:val="007F5FB4"/>
    <w:rsid w:val="008071A7"/>
    <w:rsid w:val="00816475"/>
    <w:rsid w:val="0083512A"/>
    <w:rsid w:val="00835ADC"/>
    <w:rsid w:val="0084032A"/>
    <w:rsid w:val="008627E5"/>
    <w:rsid w:val="0087152D"/>
    <w:rsid w:val="0087EC69"/>
    <w:rsid w:val="00881C6C"/>
    <w:rsid w:val="0088334F"/>
    <w:rsid w:val="00884E6C"/>
    <w:rsid w:val="00885777"/>
    <w:rsid w:val="0089338E"/>
    <w:rsid w:val="008958EB"/>
    <w:rsid w:val="00897D0F"/>
    <w:rsid w:val="008A1497"/>
    <w:rsid w:val="008A18DC"/>
    <w:rsid w:val="008B2B54"/>
    <w:rsid w:val="008B587F"/>
    <w:rsid w:val="008C0B09"/>
    <w:rsid w:val="008E77A4"/>
    <w:rsid w:val="008F01BF"/>
    <w:rsid w:val="00910543"/>
    <w:rsid w:val="00921C43"/>
    <w:rsid w:val="009234B3"/>
    <w:rsid w:val="009239C9"/>
    <w:rsid w:val="00962003"/>
    <w:rsid w:val="00984CC1"/>
    <w:rsid w:val="009A3136"/>
    <w:rsid w:val="009B186E"/>
    <w:rsid w:val="009C294F"/>
    <w:rsid w:val="009E4019"/>
    <w:rsid w:val="00A01833"/>
    <w:rsid w:val="00A0358F"/>
    <w:rsid w:val="00A05929"/>
    <w:rsid w:val="00A22489"/>
    <w:rsid w:val="00A460AD"/>
    <w:rsid w:val="00A4616A"/>
    <w:rsid w:val="00A5503B"/>
    <w:rsid w:val="00A658A0"/>
    <w:rsid w:val="00A73BEA"/>
    <w:rsid w:val="00A928E3"/>
    <w:rsid w:val="00A933D0"/>
    <w:rsid w:val="00AA1997"/>
    <w:rsid w:val="00AB1CFE"/>
    <w:rsid w:val="00AC0197"/>
    <w:rsid w:val="00AD3D54"/>
    <w:rsid w:val="00AD6A23"/>
    <w:rsid w:val="00AF1517"/>
    <w:rsid w:val="00AF6CAA"/>
    <w:rsid w:val="00B053B7"/>
    <w:rsid w:val="00B11CDB"/>
    <w:rsid w:val="00B2164D"/>
    <w:rsid w:val="00B32053"/>
    <w:rsid w:val="00B50994"/>
    <w:rsid w:val="00B5680E"/>
    <w:rsid w:val="00B617AC"/>
    <w:rsid w:val="00B7102D"/>
    <w:rsid w:val="00B741E1"/>
    <w:rsid w:val="00B8704F"/>
    <w:rsid w:val="00B9069F"/>
    <w:rsid w:val="00B9452E"/>
    <w:rsid w:val="00B9505B"/>
    <w:rsid w:val="00BA2140"/>
    <w:rsid w:val="00BC3D93"/>
    <w:rsid w:val="00BC40C8"/>
    <w:rsid w:val="00BD2319"/>
    <w:rsid w:val="00BD2E65"/>
    <w:rsid w:val="00BD7C6F"/>
    <w:rsid w:val="00BF45CF"/>
    <w:rsid w:val="00BF6C12"/>
    <w:rsid w:val="00C04A78"/>
    <w:rsid w:val="00C05280"/>
    <w:rsid w:val="00C07145"/>
    <w:rsid w:val="00C12790"/>
    <w:rsid w:val="00C277A5"/>
    <w:rsid w:val="00C3754D"/>
    <w:rsid w:val="00C42F3B"/>
    <w:rsid w:val="00C4621D"/>
    <w:rsid w:val="00C47945"/>
    <w:rsid w:val="00C574D7"/>
    <w:rsid w:val="00C67893"/>
    <w:rsid w:val="00C77A08"/>
    <w:rsid w:val="00C878E2"/>
    <w:rsid w:val="00C8791D"/>
    <w:rsid w:val="00CA7C60"/>
    <w:rsid w:val="00CB228A"/>
    <w:rsid w:val="00CB2780"/>
    <w:rsid w:val="00CB4391"/>
    <w:rsid w:val="00CB4DD9"/>
    <w:rsid w:val="00CC7DDC"/>
    <w:rsid w:val="00CD5C15"/>
    <w:rsid w:val="00CD6FA3"/>
    <w:rsid w:val="00D02F8D"/>
    <w:rsid w:val="00D10D45"/>
    <w:rsid w:val="00D10E44"/>
    <w:rsid w:val="00D125AE"/>
    <w:rsid w:val="00D15F12"/>
    <w:rsid w:val="00D31DC2"/>
    <w:rsid w:val="00D32FA5"/>
    <w:rsid w:val="00D465EB"/>
    <w:rsid w:val="00D505F2"/>
    <w:rsid w:val="00D51BA5"/>
    <w:rsid w:val="00D6002F"/>
    <w:rsid w:val="00D62EBA"/>
    <w:rsid w:val="00D747C7"/>
    <w:rsid w:val="00D9532B"/>
    <w:rsid w:val="00DA40BF"/>
    <w:rsid w:val="00DC0387"/>
    <w:rsid w:val="00DD0103"/>
    <w:rsid w:val="00DE0652"/>
    <w:rsid w:val="00DE1FE7"/>
    <w:rsid w:val="00DF3A2D"/>
    <w:rsid w:val="00E115C1"/>
    <w:rsid w:val="00E124EB"/>
    <w:rsid w:val="00E20928"/>
    <w:rsid w:val="00E21170"/>
    <w:rsid w:val="00E21FA7"/>
    <w:rsid w:val="00E33948"/>
    <w:rsid w:val="00E4470F"/>
    <w:rsid w:val="00E672AA"/>
    <w:rsid w:val="00E732EF"/>
    <w:rsid w:val="00E7343C"/>
    <w:rsid w:val="00E907A2"/>
    <w:rsid w:val="00E90B59"/>
    <w:rsid w:val="00E935A3"/>
    <w:rsid w:val="00E94AD6"/>
    <w:rsid w:val="00E95346"/>
    <w:rsid w:val="00EA094D"/>
    <w:rsid w:val="00EA4FE0"/>
    <w:rsid w:val="00EC2DEA"/>
    <w:rsid w:val="00EC6AA0"/>
    <w:rsid w:val="00EF26C1"/>
    <w:rsid w:val="00F214F8"/>
    <w:rsid w:val="00F26501"/>
    <w:rsid w:val="00F5360E"/>
    <w:rsid w:val="00F60E7F"/>
    <w:rsid w:val="00F6522C"/>
    <w:rsid w:val="00F77269"/>
    <w:rsid w:val="00F77878"/>
    <w:rsid w:val="00F91C74"/>
    <w:rsid w:val="00FA0C73"/>
    <w:rsid w:val="00FC002A"/>
    <w:rsid w:val="00FC51FE"/>
    <w:rsid w:val="00FC5A1D"/>
    <w:rsid w:val="00FC60C0"/>
    <w:rsid w:val="00FE52A9"/>
    <w:rsid w:val="00FF1BE2"/>
    <w:rsid w:val="00FF441D"/>
    <w:rsid w:val="0274E4F3"/>
    <w:rsid w:val="1763490B"/>
    <w:rsid w:val="19AE5C50"/>
    <w:rsid w:val="1A0B458E"/>
    <w:rsid w:val="1B46F1E6"/>
    <w:rsid w:val="2B7C3947"/>
    <w:rsid w:val="2F7CD0DC"/>
    <w:rsid w:val="386C12E9"/>
    <w:rsid w:val="41B7E822"/>
    <w:rsid w:val="45197BDE"/>
    <w:rsid w:val="47D6D065"/>
    <w:rsid w:val="50B9CB89"/>
    <w:rsid w:val="52B28C46"/>
    <w:rsid w:val="53010E91"/>
    <w:rsid w:val="54314552"/>
    <w:rsid w:val="56A80FAB"/>
    <w:rsid w:val="59CB5C66"/>
    <w:rsid w:val="5D6653B5"/>
    <w:rsid w:val="5F5FF45B"/>
    <w:rsid w:val="5FB5A2A7"/>
    <w:rsid w:val="67471E5D"/>
    <w:rsid w:val="6A17F614"/>
    <w:rsid w:val="6E2F0DB4"/>
    <w:rsid w:val="74377530"/>
    <w:rsid w:val="75A84969"/>
    <w:rsid w:val="76B534B9"/>
    <w:rsid w:val="7EB5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CDECF"/>
  <w15:docId w15:val="{78D4F814-84C5-4C55-BE39-30204F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customStyle="1" w:styleId="SubtitleText">
    <w:name w:val="SubtitleText"/>
    <w:basedOn w:val="Normal"/>
    <w:rPr>
      <w:rFonts w:cs="Arial"/>
      <w:b/>
      <w:color w:val="104F75"/>
      <w:sz w:val="48"/>
      <w:szCs w:val="48"/>
    </w:rPr>
  </w:style>
  <w:style w:type="character" w:customStyle="1" w:styleId="SubtitleTextChar">
    <w:name w:val="SubtitleText Char"/>
    <w:rPr>
      <w:rFonts w:ascii="Arial" w:hAnsi="Arial" w:cs="Arial"/>
      <w:b/>
      <w:color w:val="104F75"/>
      <w:sz w:val="48"/>
      <w:szCs w:val="48"/>
      <w:lang w:eastAsia="en-US"/>
    </w:rPr>
  </w:style>
  <w:style w:type="paragraph" w:styleId="ListParagraph">
    <w:name w:val="List Paragraph"/>
    <w:basedOn w:val="Normal"/>
    <w:uiPriority w:val="34"/>
    <w:qFormat/>
    <w:pPr>
      <w:numPr>
        <w:numId w:val="11"/>
      </w:numPr>
      <w:spacing w:after="240"/>
    </w:pPr>
  </w:style>
  <w:style w:type="paragraph" w:styleId="TOC1">
    <w:name w:val="toc 1"/>
    <w:basedOn w:val="Normal"/>
    <w:next w:val="Normal"/>
    <w:autoRedefine/>
    <w:pPr>
      <w:tabs>
        <w:tab w:val="right" w:pos="9498"/>
      </w:tabs>
      <w:spacing w:after="0"/>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7400"/>
    </w:pPr>
  </w:style>
  <w:style w:type="character" w:customStyle="1" w:styleId="CopyrightSpacingChar">
    <w:name w:val="CopyrightSpacing Char"/>
    <w:rPr>
      <w:rFonts w:ascii="Arial" w:hAnsi="Arial" w:cs="Arial"/>
      <w:sz w:val="24"/>
      <w:szCs w:val="24"/>
      <w:lang w:eastAsia="en-US"/>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paragraph" w:styleId="ListBullet">
    <w:name w:val="List Bullet"/>
    <w:basedOn w:val="Normal"/>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Heading4Char"/>
    <w:rPr>
      <w:rFonts w:cs="Arial"/>
      <w:b w:val="0"/>
      <w:bCs w:val="0"/>
      <w:color w:val="000000"/>
      <w:sz w:val="22"/>
      <w:szCs w:val="28"/>
      <w:lang w:eastAsia="en-US"/>
    </w:rPr>
  </w:style>
  <w:style w:type="paragraph" w:customStyle="1" w:styleId="DeptBullets">
    <w:name w:val="DeptBullets"/>
    <w:basedOn w:val="Normal"/>
    <w:pPr>
      <w:numPr>
        <w:numId w:val="7"/>
      </w:numPr>
      <w:tabs>
        <w:tab w:val="left" w:pos="-3828"/>
      </w:tabs>
    </w:pPr>
  </w:style>
  <w:style w:type="character" w:customStyle="1" w:styleId="DeptBulletsChar">
    <w:name w:val="DeptBullets Char"/>
    <w:basedOn w:val="Heading4Char"/>
    <w:rPr>
      <w:b w:val="0"/>
      <w:bCs w:val="0"/>
      <w:color w:val="000000"/>
      <w:sz w:val="22"/>
      <w:szCs w:val="24"/>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Revision">
    <w:name w:val="Revision"/>
    <w:pPr>
      <w:suppressAutoHyphens/>
    </w:pPr>
    <w:rPr>
      <w:sz w:val="22"/>
      <w:szCs w:val="24"/>
    </w:rPr>
  </w:style>
  <w:style w:type="character" w:styleId="Strong">
    <w:name w:val="Strong"/>
    <w:basedOn w:val="DefaultParagraphFont"/>
    <w:rPr>
      <w:b/>
      <w:bCs/>
    </w:rPr>
  </w:style>
  <w:style w:type="character" w:customStyle="1" w:styleId="xbe">
    <w:name w:val="_xbe"/>
    <w:basedOn w:val="DefaultParagraphFont"/>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1">
    <w:name w:val="LFO1"/>
    <w:basedOn w:val="NoList"/>
    <w:pPr>
      <w:numPr>
        <w:numId w:val="7"/>
      </w:numPr>
    </w:pPr>
  </w:style>
  <w:style w:type="numbering" w:customStyle="1" w:styleId="LFO6">
    <w:name w:val="LFO6"/>
    <w:basedOn w:val="NoList"/>
    <w:pPr>
      <w:numPr>
        <w:numId w:val="8"/>
      </w:numPr>
    </w:pPr>
  </w:style>
  <w:style w:type="numbering" w:customStyle="1" w:styleId="LFO37">
    <w:name w:val="LFO37"/>
    <w:basedOn w:val="NoList"/>
    <w:pPr>
      <w:numPr>
        <w:numId w:val="9"/>
      </w:numPr>
    </w:pPr>
  </w:style>
  <w:style w:type="numbering" w:customStyle="1" w:styleId="LFO40">
    <w:name w:val="LFO40"/>
    <w:basedOn w:val="NoList"/>
    <w:pPr>
      <w:numPr>
        <w:numId w:val="10"/>
      </w:numPr>
    </w:pPr>
  </w:style>
  <w:style w:type="numbering" w:customStyle="1" w:styleId="LFO46">
    <w:name w:val="LFO46"/>
    <w:basedOn w:val="NoList"/>
    <w:pPr>
      <w:numPr>
        <w:numId w:val="11"/>
      </w:numPr>
    </w:pPr>
  </w:style>
  <w:style w:type="character" w:customStyle="1" w:styleId="apple-converted-space">
    <w:name w:val="apple-converted-space"/>
    <w:basedOn w:val="DefaultParagraphFont"/>
    <w:rsid w:val="00CB4DD9"/>
  </w:style>
  <w:style w:type="table" w:styleId="TableGrid">
    <w:name w:val="Table Grid"/>
    <w:basedOn w:val="TableNormal"/>
    <w:uiPriority w:val="39"/>
    <w:rsid w:val="00CC7DDC"/>
    <w:pPr>
      <w:autoSpaceDN/>
      <w:textAlignment w:val="auto"/>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DDC"/>
    <w:pPr>
      <w:autoSpaceDN/>
      <w:textAlignment w:val="auto"/>
    </w:pPr>
  </w:style>
  <w:style w:type="character" w:customStyle="1" w:styleId="UnresolvedMention1">
    <w:name w:val="Unresolved Mention1"/>
    <w:basedOn w:val="DefaultParagraphFont"/>
    <w:uiPriority w:val="99"/>
    <w:semiHidden/>
    <w:unhideWhenUsed/>
    <w:rsid w:val="00B0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881">
      <w:bodyDiv w:val="1"/>
      <w:marLeft w:val="0"/>
      <w:marRight w:val="0"/>
      <w:marTop w:val="0"/>
      <w:marBottom w:val="0"/>
      <w:divBdr>
        <w:top w:val="none" w:sz="0" w:space="0" w:color="auto"/>
        <w:left w:val="none" w:sz="0" w:space="0" w:color="auto"/>
        <w:bottom w:val="none" w:sz="0" w:space="0" w:color="auto"/>
        <w:right w:val="none" w:sz="0" w:space="0" w:color="auto"/>
      </w:divBdr>
    </w:div>
    <w:div w:id="125322356">
      <w:bodyDiv w:val="1"/>
      <w:marLeft w:val="0"/>
      <w:marRight w:val="0"/>
      <w:marTop w:val="0"/>
      <w:marBottom w:val="0"/>
      <w:divBdr>
        <w:top w:val="none" w:sz="0" w:space="0" w:color="auto"/>
        <w:left w:val="none" w:sz="0" w:space="0" w:color="auto"/>
        <w:bottom w:val="none" w:sz="0" w:space="0" w:color="auto"/>
        <w:right w:val="none" w:sz="0" w:space="0" w:color="auto"/>
      </w:divBdr>
    </w:div>
    <w:div w:id="185027636">
      <w:bodyDiv w:val="1"/>
      <w:marLeft w:val="0"/>
      <w:marRight w:val="0"/>
      <w:marTop w:val="0"/>
      <w:marBottom w:val="0"/>
      <w:divBdr>
        <w:top w:val="none" w:sz="0" w:space="0" w:color="auto"/>
        <w:left w:val="none" w:sz="0" w:space="0" w:color="auto"/>
        <w:bottom w:val="none" w:sz="0" w:space="0" w:color="auto"/>
        <w:right w:val="none" w:sz="0" w:space="0" w:color="auto"/>
      </w:divBdr>
    </w:div>
    <w:div w:id="414937820">
      <w:bodyDiv w:val="1"/>
      <w:marLeft w:val="0"/>
      <w:marRight w:val="0"/>
      <w:marTop w:val="0"/>
      <w:marBottom w:val="0"/>
      <w:divBdr>
        <w:top w:val="none" w:sz="0" w:space="0" w:color="auto"/>
        <w:left w:val="none" w:sz="0" w:space="0" w:color="auto"/>
        <w:bottom w:val="none" w:sz="0" w:space="0" w:color="auto"/>
        <w:right w:val="none" w:sz="0" w:space="0" w:color="auto"/>
      </w:divBdr>
    </w:div>
    <w:div w:id="170767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oleanmathshub@clf.cabot.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lisa.pollard@clf.uk" TargetMode="External"/><Relationship Id="rId10" Type="http://schemas.openxmlformats.org/officeDocument/2006/relationships/hyperlink" Target="mailto:BooleanMathsHub@clf.cabo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C3B429C31BA49A62E9FA8336572AA" ma:contentTypeVersion="13" ma:contentTypeDescription="Create a new document." ma:contentTypeScope="" ma:versionID="bf05e63ff1d6af4822960e62a539512a">
  <xsd:schema xmlns:xsd="http://www.w3.org/2001/XMLSchema" xmlns:xs="http://www.w3.org/2001/XMLSchema" xmlns:p="http://schemas.microsoft.com/office/2006/metadata/properties" xmlns:ns3="f7df765b-9b14-4544-979a-41bd3e052a8d" xmlns:ns4="4260602a-2865-4222-be69-f12e451e4673" targetNamespace="http://schemas.microsoft.com/office/2006/metadata/properties" ma:root="true" ma:fieldsID="2d024be718030fd14f9d669af16b0570" ns3:_="" ns4:_="">
    <xsd:import namespace="f7df765b-9b14-4544-979a-41bd3e052a8d"/>
    <xsd:import namespace="4260602a-2865-4222-be69-f12e451e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765b-9b14-4544-979a-41bd3e05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602a-2865-4222-be69-f12e451e46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5D88B-9D72-4732-99C0-E476A8449A52}">
  <ds:schemaRefs>
    <ds:schemaRef ds:uri="f7df765b-9b14-4544-979a-41bd3e052a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60602a-2865-4222-be69-f12e451e4673"/>
    <ds:schemaRef ds:uri="http://www.w3.org/XML/1998/namespace"/>
    <ds:schemaRef ds:uri="http://purl.org/dc/dcmitype/"/>
  </ds:schemaRefs>
</ds:datastoreItem>
</file>

<file path=customXml/itemProps2.xml><?xml version="1.0" encoding="utf-8"?>
<ds:datastoreItem xmlns:ds="http://schemas.openxmlformats.org/officeDocument/2006/customXml" ds:itemID="{852C2FA1-D116-42EE-95B3-7C20746DFF8A}">
  <ds:schemaRefs>
    <ds:schemaRef ds:uri="http://schemas.microsoft.com/sharepoint/v3/contenttype/forms"/>
  </ds:schemaRefs>
</ds:datastoreItem>
</file>

<file path=customXml/itemProps3.xml><?xml version="1.0" encoding="utf-8"?>
<ds:datastoreItem xmlns:ds="http://schemas.openxmlformats.org/officeDocument/2006/customXml" ds:itemID="{4CF368E1-F64A-449D-BF15-897F444E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765b-9b14-4544-979a-41bd3e052a8d"/>
    <ds:schemaRef ds:uri="4260602a-2865-4222-be69-f12e451e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Maths hub application form NLancashire Cumbria 9Oct15</vt:lpstr>
    </vt:vector>
  </TitlesOfParts>
  <Company>Cumbria County Council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form NLancashire Cumbria 9Oct15</dc:title>
  <dc:creator>Publishing.TEAM@education.gsi.gov.uk</dc:creator>
  <dc:description>DfE-FS-V1.2</dc:description>
  <cp:lastModifiedBy>Lisa Pollard - Institute</cp:lastModifiedBy>
  <cp:revision>7</cp:revision>
  <cp:lastPrinted>2020-01-10T14:30:00Z</cp:lastPrinted>
  <dcterms:created xsi:type="dcterms:W3CDTF">2021-11-11T10:50:00Z</dcterms:created>
  <dcterms:modified xsi:type="dcterms:W3CDTF">2021-11-11T11:16:00Z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0x010100C82C3B429C31BA49A62E9FA8336572AA</vt:lpwstr>
  </property>
  <property fmtid="{D5CDD505-2E9C-101B-9397-08002B2CF9AE}" pid="4" name="_dlc_DocIdItemGuid">
    <vt:lpwstr>281eff72-707f-408d-80eb-6926e8284d38</vt:lpwstr>
  </property>
  <property fmtid="{D5CDD505-2E9C-101B-9397-08002B2CF9AE}" pid="5" name="IWPOrganisationalUnit">
    <vt:lpwstr>4;#DfE:Education Standards Directorate|0bb1b330-0f80-45f3-9dcd-af0b6ab04a85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