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1144A" w14:textId="3C0DED8F" w:rsidR="009432D6" w:rsidRPr="00994881" w:rsidRDefault="009432D6" w:rsidP="009432D6">
      <w:pPr>
        <w:pStyle w:val="Default"/>
        <w:jc w:val="right"/>
        <w:rPr>
          <w:rFonts w:ascii="Calibri" w:hAnsi="Calibri" w:cs="Times New Roman"/>
          <w:sz w:val="22"/>
          <w:szCs w:val="22"/>
        </w:rPr>
      </w:pPr>
      <w:r w:rsidRPr="00994881">
        <w:rPr>
          <w:rFonts w:ascii="Calibri" w:hAnsi="Calibri"/>
          <w:sz w:val="22"/>
          <w:szCs w:val="22"/>
        </w:rPr>
        <w:t>DRAFT RESOLUTION</w:t>
      </w:r>
    </w:p>
    <w:p w14:paraId="0F842956" w14:textId="7D5F6A27" w:rsidR="009432D6" w:rsidRPr="00994881" w:rsidRDefault="009432D6" w:rsidP="009432D6">
      <w:pPr>
        <w:pStyle w:val="En-tte"/>
        <w:jc w:val="right"/>
      </w:pPr>
      <w:r w:rsidRPr="00994881">
        <w:t>OENO-SCMA 21-712</w:t>
      </w:r>
      <w:r w:rsidR="002F6888" w:rsidRPr="00994881">
        <w:t>A</w:t>
      </w:r>
      <w:r w:rsidRPr="00994881">
        <w:t xml:space="preserve"> Et</w:t>
      </w:r>
      <w:r w:rsidR="005D3D21" w:rsidRPr="00994881">
        <w:t>7</w:t>
      </w:r>
    </w:p>
    <w:p w14:paraId="5C328289" w14:textId="77777777" w:rsidR="009432D6" w:rsidRPr="00994881" w:rsidRDefault="009432D6" w:rsidP="000766E7">
      <w:pPr>
        <w:jc w:val="center"/>
      </w:pPr>
    </w:p>
    <w:p w14:paraId="18C6A7C0" w14:textId="3024E997" w:rsidR="0036106A" w:rsidRPr="00994881" w:rsidRDefault="0036106A" w:rsidP="00994881">
      <w:pPr>
        <w:pStyle w:val="Default"/>
        <w:pBdr>
          <w:top w:val="single" w:sz="4" w:space="1" w:color="auto"/>
          <w:left w:val="single" w:sz="4" w:space="4" w:color="auto"/>
          <w:bottom w:val="single" w:sz="4" w:space="1" w:color="auto"/>
          <w:right w:val="single" w:sz="4" w:space="4" w:color="auto"/>
        </w:pBdr>
        <w:shd w:val="clear" w:color="auto" w:fill="D9D9D9"/>
        <w:rPr>
          <w:rFonts w:ascii="Lora" w:hAnsi="Lora" w:cstheme="minorHAnsi"/>
          <w:b/>
          <w:bCs/>
          <w:i/>
          <w:iCs/>
        </w:rPr>
      </w:pPr>
      <w:bookmarkStart w:id="0" w:name="_Hlk58231037"/>
      <w:r w:rsidRPr="00994881">
        <w:rPr>
          <w:rFonts w:ascii="Lora" w:hAnsi="Lora" w:cstheme="minorHAnsi"/>
          <w:b/>
          <w:bCs/>
          <w:i/>
          <w:iCs/>
          <w:sz w:val="22"/>
          <w:szCs w:val="22"/>
        </w:rPr>
        <w:t xml:space="preserve">IMPORTANT: The present resolution modifies the following </w:t>
      </w:r>
      <w:r w:rsidR="002B7BA4" w:rsidRPr="00994881">
        <w:rPr>
          <w:rFonts w:ascii="Lora" w:hAnsi="Lora" w:cstheme="minorHAnsi"/>
          <w:b/>
          <w:bCs/>
          <w:i/>
          <w:iCs/>
          <w:sz w:val="22"/>
          <w:szCs w:val="22"/>
        </w:rPr>
        <w:t>r</w:t>
      </w:r>
      <w:r w:rsidRPr="00994881">
        <w:rPr>
          <w:rFonts w:ascii="Lora" w:hAnsi="Lora" w:cstheme="minorHAnsi"/>
          <w:b/>
          <w:bCs/>
          <w:i/>
          <w:iCs/>
          <w:sz w:val="22"/>
          <w:szCs w:val="22"/>
        </w:rPr>
        <w:t>esolution:</w:t>
      </w:r>
    </w:p>
    <w:p w14:paraId="181E2C65" w14:textId="6E2E21BD" w:rsidR="0036106A" w:rsidRPr="00994881" w:rsidRDefault="0036106A" w:rsidP="00994881">
      <w:pPr>
        <w:pStyle w:val="Default"/>
        <w:pBdr>
          <w:top w:val="single" w:sz="4" w:space="1" w:color="auto"/>
          <w:left w:val="single" w:sz="4" w:space="4" w:color="auto"/>
          <w:bottom w:val="single" w:sz="4" w:space="1" w:color="auto"/>
          <w:right w:val="single" w:sz="4" w:space="4" w:color="auto"/>
        </w:pBdr>
        <w:shd w:val="clear" w:color="auto" w:fill="D9D9D9"/>
        <w:rPr>
          <w:rFonts w:ascii="Lora" w:hAnsi="Lora" w:cstheme="minorHAnsi"/>
          <w:b/>
          <w:bCs/>
        </w:rPr>
      </w:pPr>
      <w:r w:rsidRPr="00994881">
        <w:rPr>
          <w:rFonts w:ascii="Lora" w:hAnsi="Lora" w:cstheme="minorHAnsi"/>
          <w:b/>
          <w:bCs/>
          <w:sz w:val="22"/>
          <w:szCs w:val="22"/>
        </w:rPr>
        <w:t xml:space="preserve">- </w:t>
      </w:r>
      <w:bookmarkEnd w:id="0"/>
      <w:r w:rsidR="008C2ABF" w:rsidRPr="00994881">
        <w:rPr>
          <w:rFonts w:ascii="Lora" w:hAnsi="Lora" w:cstheme="minorHAnsi"/>
          <w:b/>
          <w:bCs/>
          <w:sz w:val="22"/>
          <w:szCs w:val="22"/>
        </w:rPr>
        <w:t>AG 2/88-OEN</w:t>
      </w:r>
    </w:p>
    <w:p w14:paraId="5899E8A5" w14:textId="77777777" w:rsidR="00007178" w:rsidRPr="00994881" w:rsidRDefault="00007178" w:rsidP="00007178">
      <w:pPr>
        <w:jc w:val="both"/>
        <w:rPr>
          <w:rFonts w:ascii="Oswald" w:hAnsi="Oswald"/>
          <w:sz w:val="32"/>
          <w:szCs w:val="32"/>
        </w:rPr>
      </w:pPr>
    </w:p>
    <w:p w14:paraId="03CEB9F6" w14:textId="6A43E385" w:rsidR="001C0220" w:rsidRPr="00994881" w:rsidRDefault="00A019CB" w:rsidP="00994881">
      <w:pPr>
        <w:rPr>
          <w:b/>
          <w:bCs/>
        </w:rPr>
      </w:pPr>
      <w:r w:rsidRPr="00994881">
        <w:rPr>
          <w:rFonts w:ascii="Oswald" w:hAnsi="Oswald"/>
          <w:b/>
          <w:bCs/>
          <w:sz w:val="32"/>
          <w:szCs w:val="32"/>
        </w:rPr>
        <w:t>COMMONLY USED ANALYTICAL PARAMETERS FOR WINES AND SPARKLING WINES</w:t>
      </w:r>
    </w:p>
    <w:p w14:paraId="565D66D5" w14:textId="77777777" w:rsidR="00E946C5" w:rsidRPr="00994881" w:rsidRDefault="00E946C5" w:rsidP="00E946C5">
      <w:pPr>
        <w:rPr>
          <w:rFonts w:ascii="Lora" w:hAnsi="Lora"/>
        </w:rPr>
      </w:pPr>
      <w:r w:rsidRPr="00994881">
        <w:rPr>
          <w:rFonts w:ascii="Lora" w:hAnsi="Lora"/>
        </w:rPr>
        <w:t>THE GENERAL ASSEMBLY,</w:t>
      </w:r>
    </w:p>
    <w:p w14:paraId="583EEB45" w14:textId="77777777" w:rsidR="00E946C5" w:rsidRPr="00994881" w:rsidRDefault="00C05EDB" w:rsidP="006337E0">
      <w:pPr>
        <w:jc w:val="both"/>
        <w:rPr>
          <w:rFonts w:ascii="Lora" w:hAnsi="Lora"/>
        </w:rPr>
      </w:pPr>
      <w:r w:rsidRPr="00994881">
        <w:rPr>
          <w:rFonts w:ascii="Lora" w:hAnsi="Lora"/>
        </w:rPr>
        <w:t>IN VIEW OF Article 2, paragraph 2 iv of the Agreement of 3 April 2001 establishing the International Organisation of Vine and Wine,</w:t>
      </w:r>
    </w:p>
    <w:p w14:paraId="00D49382" w14:textId="590E94D3" w:rsidR="00231E91" w:rsidRPr="00994881" w:rsidRDefault="00116C00" w:rsidP="006337E0">
      <w:pPr>
        <w:jc w:val="both"/>
        <w:rPr>
          <w:rFonts w:ascii="Lora" w:hAnsi="Lora"/>
        </w:rPr>
      </w:pPr>
      <w:r w:rsidRPr="00994881">
        <w:rPr>
          <w:rFonts w:ascii="Lora" w:hAnsi="Lora"/>
        </w:rPr>
        <w:t xml:space="preserve">CONSIDERING Resolution OENO 88/2 of 1988 concerning the modification of the </w:t>
      </w:r>
      <w:r w:rsidRPr="00994881">
        <w:rPr>
          <w:rFonts w:ascii="Lora" w:hAnsi="Lora"/>
          <w:i/>
          <w:iCs/>
        </w:rPr>
        <w:t>Compendium of International Methods of</w:t>
      </w:r>
      <w:r w:rsidRPr="00994881">
        <w:rPr>
          <w:rFonts w:ascii="Lora" w:hAnsi="Lora"/>
        </w:rPr>
        <w:t xml:space="preserve"> </w:t>
      </w:r>
      <w:r w:rsidRPr="00994881">
        <w:rPr>
          <w:rFonts w:ascii="Lora" w:hAnsi="Lora"/>
          <w:i/>
          <w:iCs/>
        </w:rPr>
        <w:t>Wine and Must Analysis</w:t>
      </w:r>
      <w:r w:rsidRPr="00994881">
        <w:rPr>
          <w:rFonts w:ascii="Lora" w:hAnsi="Lora"/>
        </w:rPr>
        <w:t xml:space="preserve"> </w:t>
      </w:r>
      <w:r w:rsidR="007F14E8" w:rsidRPr="00994881">
        <w:rPr>
          <w:rFonts w:ascii="Lora" w:hAnsi="Lora"/>
        </w:rPr>
        <w:t xml:space="preserve">to include </w:t>
      </w:r>
      <w:r w:rsidRPr="00994881">
        <w:rPr>
          <w:rFonts w:ascii="Lora" w:hAnsi="Lora"/>
        </w:rPr>
        <w:t xml:space="preserve">rules for the implementation of methods of analysis and </w:t>
      </w:r>
      <w:r w:rsidR="00D23C58" w:rsidRPr="00994881">
        <w:rPr>
          <w:rFonts w:ascii="Lora" w:hAnsi="Lora"/>
        </w:rPr>
        <w:t xml:space="preserve">templates for reporting </w:t>
      </w:r>
      <w:r w:rsidRPr="00994881">
        <w:rPr>
          <w:rFonts w:ascii="Lora" w:hAnsi="Lora"/>
        </w:rPr>
        <w:t xml:space="preserve">of analysis </w:t>
      </w:r>
      <w:r w:rsidR="00D23C58" w:rsidRPr="00994881">
        <w:rPr>
          <w:rFonts w:ascii="Lora" w:hAnsi="Lora"/>
        </w:rPr>
        <w:t>results</w:t>
      </w:r>
      <w:r w:rsidRPr="00994881">
        <w:rPr>
          <w:rFonts w:ascii="Lora" w:hAnsi="Lora"/>
        </w:rPr>
        <w:t>,</w:t>
      </w:r>
    </w:p>
    <w:p w14:paraId="762B82BE" w14:textId="51485039" w:rsidR="00231E91" w:rsidRPr="00994881" w:rsidRDefault="00116C00" w:rsidP="006337E0">
      <w:pPr>
        <w:jc w:val="both"/>
        <w:rPr>
          <w:rFonts w:ascii="Lora" w:hAnsi="Lora"/>
        </w:rPr>
      </w:pPr>
      <w:r w:rsidRPr="00994881">
        <w:rPr>
          <w:rFonts w:ascii="Lora" w:hAnsi="Lora"/>
        </w:rPr>
        <w:t xml:space="preserve">CONSIDERING the </w:t>
      </w:r>
      <w:r w:rsidR="002B7BA4" w:rsidRPr="00994881">
        <w:rPr>
          <w:rFonts w:ascii="Lora" w:hAnsi="Lora"/>
        </w:rPr>
        <w:t xml:space="preserve">objectives </w:t>
      </w:r>
      <w:r w:rsidRPr="00994881">
        <w:rPr>
          <w:rFonts w:ascii="Lora" w:hAnsi="Lora"/>
        </w:rPr>
        <w:t xml:space="preserve">of the OIV, in particular to contribute to the international </w:t>
      </w:r>
      <w:r w:rsidR="008356B9" w:rsidRPr="00994881">
        <w:rPr>
          <w:rFonts w:ascii="Lora" w:hAnsi="Lora"/>
        </w:rPr>
        <w:t>harmonization</w:t>
      </w:r>
      <w:r w:rsidRPr="00994881">
        <w:rPr>
          <w:rFonts w:ascii="Lora" w:hAnsi="Lora"/>
        </w:rPr>
        <w:t xml:space="preserve"> of existing practices and standards in order to improve the conditions for the production and marketing of vine and wine products, and to help ensure that the interests of consumers are taken into account,</w:t>
      </w:r>
    </w:p>
    <w:p w14:paraId="7E43ACC8" w14:textId="77777777" w:rsidR="00231E91" w:rsidRPr="00994881" w:rsidRDefault="00116C00" w:rsidP="006337E0">
      <w:pPr>
        <w:jc w:val="both"/>
        <w:rPr>
          <w:rFonts w:ascii="Lora" w:hAnsi="Lora"/>
        </w:rPr>
      </w:pPr>
      <w:r w:rsidRPr="00994881">
        <w:rPr>
          <w:rFonts w:ascii="Lora" w:hAnsi="Lora"/>
        </w:rPr>
        <w:t>CONSIDERING the work of the Codex Alimentarius, in particular the following guidelines: “Principles for Food Import and Export Inspection and Certification” (CXG 20-1995), “Guidelines for Food Import Control Systems” (CXG 47-2003) and “Guidelines for Design, Production, Issuance and Use of Generic Official Certificates” (CXG 38-2001),</w:t>
      </w:r>
    </w:p>
    <w:p w14:paraId="0548607B" w14:textId="77777777" w:rsidR="00E946C5" w:rsidRPr="00994881" w:rsidRDefault="00A764BD" w:rsidP="006337E0">
      <w:pPr>
        <w:jc w:val="both"/>
        <w:rPr>
          <w:rFonts w:ascii="Lora" w:hAnsi="Lora"/>
        </w:rPr>
      </w:pPr>
      <w:r w:rsidRPr="00994881">
        <w:rPr>
          <w:rFonts w:ascii="Lora" w:hAnsi="Lora"/>
        </w:rPr>
        <w:t>CONSIDERING the work of the “Methods of Analysis” Sub-Commission in this area,</w:t>
      </w:r>
    </w:p>
    <w:p w14:paraId="44AA10D8" w14:textId="0633B267" w:rsidR="00D358D1" w:rsidRPr="00994881" w:rsidRDefault="00D46E58" w:rsidP="006337E0">
      <w:pPr>
        <w:jc w:val="both"/>
        <w:rPr>
          <w:rFonts w:ascii="Lora" w:hAnsi="Lora"/>
        </w:rPr>
      </w:pPr>
      <w:r w:rsidRPr="00994881">
        <w:rPr>
          <w:rFonts w:ascii="Lora" w:hAnsi="Lora"/>
        </w:rPr>
        <w:t>DECIDES, at the proposal of the “Oenology” Commission, to replace the part of Resolution OENO 88/2 of</w:t>
      </w:r>
      <w:r w:rsidR="0024422B" w:rsidRPr="00994881">
        <w:rPr>
          <w:rFonts w:ascii="Lora" w:hAnsi="Lora"/>
        </w:rPr>
        <w:t xml:space="preserve"> </w:t>
      </w:r>
      <w:r w:rsidRPr="00994881">
        <w:rPr>
          <w:rFonts w:ascii="Lora" w:hAnsi="Lora"/>
        </w:rPr>
        <w:t xml:space="preserve">1988 that makes reference to Annex B of the </w:t>
      </w:r>
      <w:r w:rsidRPr="00994881">
        <w:rPr>
          <w:rFonts w:ascii="Lora" w:hAnsi="Lora"/>
          <w:i/>
          <w:iCs/>
        </w:rPr>
        <w:t>Compendium of International Methods of Wine and Must Analysis</w:t>
      </w:r>
      <w:r w:rsidRPr="00994881">
        <w:rPr>
          <w:rFonts w:ascii="Lora" w:hAnsi="Lora"/>
        </w:rPr>
        <w:t xml:space="preserve">, which concerns the rules for the implementation of </w:t>
      </w:r>
      <w:r w:rsidR="00DC5453" w:rsidRPr="00994881">
        <w:rPr>
          <w:rFonts w:ascii="Lora" w:hAnsi="Lora"/>
        </w:rPr>
        <w:t xml:space="preserve">the </w:t>
      </w:r>
      <w:r w:rsidR="00A37D55" w:rsidRPr="00994881">
        <w:rPr>
          <w:rFonts w:ascii="Lora" w:hAnsi="Lora"/>
        </w:rPr>
        <w:t xml:space="preserve">analytical </w:t>
      </w:r>
      <w:r w:rsidRPr="00994881">
        <w:rPr>
          <w:rFonts w:ascii="Lora" w:hAnsi="Lora"/>
        </w:rPr>
        <w:t xml:space="preserve">methods and </w:t>
      </w:r>
      <w:r w:rsidR="00EA5DA8" w:rsidRPr="00994881">
        <w:rPr>
          <w:rFonts w:ascii="Lora" w:hAnsi="Lora"/>
        </w:rPr>
        <w:t>report</w:t>
      </w:r>
      <w:r w:rsidR="00D23C58" w:rsidRPr="00994881">
        <w:rPr>
          <w:rFonts w:ascii="Lora" w:hAnsi="Lora"/>
        </w:rPr>
        <w:t>ing</w:t>
      </w:r>
      <w:r w:rsidR="00EA5DA8" w:rsidRPr="00994881">
        <w:rPr>
          <w:rFonts w:ascii="Lora" w:hAnsi="Lora"/>
        </w:rPr>
        <w:t xml:space="preserve"> </w:t>
      </w:r>
      <w:r w:rsidRPr="00994881">
        <w:rPr>
          <w:rFonts w:ascii="Lora" w:hAnsi="Lora"/>
        </w:rPr>
        <w:t xml:space="preserve">of analysis </w:t>
      </w:r>
      <w:r w:rsidR="00D23C58" w:rsidRPr="00994881">
        <w:rPr>
          <w:rFonts w:ascii="Lora" w:hAnsi="Lora"/>
        </w:rPr>
        <w:t>results</w:t>
      </w:r>
      <w:r w:rsidRPr="00994881">
        <w:rPr>
          <w:rFonts w:ascii="Lora" w:hAnsi="Lora"/>
        </w:rPr>
        <w:t>, with the following:</w:t>
      </w:r>
    </w:p>
    <w:p w14:paraId="1327BA02" w14:textId="77777777" w:rsidR="00481BAF" w:rsidRPr="00994881" w:rsidRDefault="00481BAF" w:rsidP="006337E0">
      <w:pPr>
        <w:jc w:val="both"/>
        <w:rPr>
          <w:rFonts w:ascii="Lora" w:hAnsi="Lora"/>
        </w:rPr>
      </w:pPr>
    </w:p>
    <w:p w14:paraId="314D4019" w14:textId="497C46A6" w:rsidR="00A019CB" w:rsidRPr="00994881" w:rsidRDefault="00A019CB" w:rsidP="00A019CB">
      <w:pPr>
        <w:rPr>
          <w:rFonts w:ascii="Lora" w:hAnsi="Lora"/>
        </w:rPr>
      </w:pPr>
      <w:r w:rsidRPr="00994881">
        <w:rPr>
          <w:rFonts w:ascii="Lora" w:hAnsi="Lora"/>
        </w:rPr>
        <w:t>COMMONLY USED ANALYTICAL PARAMETERS FOR WINES AND SPARKLING WINES</w:t>
      </w:r>
    </w:p>
    <w:p w14:paraId="52795D61" w14:textId="7BA0BCD2" w:rsidR="00481BAF" w:rsidRPr="00994881" w:rsidRDefault="00481BAF" w:rsidP="006337E0">
      <w:pPr>
        <w:jc w:val="both"/>
        <w:rPr>
          <w:rFonts w:ascii="Lora" w:hAnsi="Lora"/>
        </w:rPr>
      </w:pPr>
    </w:p>
    <w:p w14:paraId="1A6896A3" w14:textId="34ACFB34" w:rsidR="0017289C" w:rsidRPr="00994881" w:rsidRDefault="0017289C" w:rsidP="00994881">
      <w:pPr>
        <w:pStyle w:val="Titre2"/>
        <w:numPr>
          <w:ilvl w:val="0"/>
          <w:numId w:val="6"/>
        </w:numPr>
        <w:tabs>
          <w:tab w:val="left" w:pos="567"/>
        </w:tabs>
        <w:spacing w:before="240" w:line="264" w:lineRule="auto"/>
        <w:ind w:left="0" w:firstLine="0"/>
        <w:rPr>
          <w:rFonts w:ascii="Oswald" w:hAnsi="Oswald"/>
          <w:b/>
          <w:bCs/>
          <w:sz w:val="32"/>
          <w:szCs w:val="32"/>
          <w:lang w:val="it-IT"/>
        </w:rPr>
      </w:pPr>
      <w:r w:rsidRPr="00994881">
        <w:rPr>
          <w:rFonts w:ascii="Oswald" w:hAnsi="Oswald"/>
          <w:b/>
          <w:bCs/>
          <w:sz w:val="32"/>
          <w:szCs w:val="32"/>
          <w:lang w:val="it-IT"/>
        </w:rPr>
        <w:lastRenderedPageBreak/>
        <w:t>Scope of application:</w:t>
      </w:r>
    </w:p>
    <w:p w14:paraId="5EF728BF" w14:textId="31C09969" w:rsidR="00465F35" w:rsidRPr="00994881" w:rsidRDefault="001C0220" w:rsidP="00994881">
      <w:pPr>
        <w:ind w:left="360"/>
        <w:rPr>
          <w:rFonts w:ascii="Lora" w:hAnsi="Lora"/>
        </w:rPr>
      </w:pPr>
      <w:r w:rsidRPr="00994881">
        <w:rPr>
          <w:rFonts w:ascii="Lora" w:hAnsi="Lora"/>
        </w:rPr>
        <w:t>T</w:t>
      </w:r>
      <w:r w:rsidR="00481BAF" w:rsidRPr="00994881">
        <w:rPr>
          <w:rFonts w:ascii="Lora" w:hAnsi="Lora"/>
        </w:rPr>
        <w:t>o</w:t>
      </w:r>
      <w:r w:rsidR="00037DF9" w:rsidRPr="00994881">
        <w:rPr>
          <w:rFonts w:ascii="Lora" w:hAnsi="Lora"/>
        </w:rPr>
        <w:t xml:space="preserve"> present recommendations </w:t>
      </w:r>
      <w:r w:rsidR="00465F35" w:rsidRPr="00994881">
        <w:rPr>
          <w:rFonts w:ascii="Lora" w:hAnsi="Lora"/>
        </w:rPr>
        <w:t xml:space="preserve">for </w:t>
      </w:r>
      <w:r w:rsidR="00481BAF" w:rsidRPr="00994881">
        <w:rPr>
          <w:rFonts w:ascii="Lora" w:hAnsi="Lora"/>
        </w:rPr>
        <w:t xml:space="preserve">certificates of analysis that </w:t>
      </w:r>
      <w:r w:rsidR="00465F35" w:rsidRPr="00994881">
        <w:rPr>
          <w:rFonts w:ascii="Lora" w:hAnsi="Lora"/>
        </w:rPr>
        <w:t>address certain aspects</w:t>
      </w:r>
      <w:r w:rsidR="00481BAF" w:rsidRPr="00994881">
        <w:rPr>
          <w:rFonts w:ascii="Lora" w:hAnsi="Lora"/>
        </w:rPr>
        <w:t xml:space="preserve"> </w:t>
      </w:r>
      <w:r w:rsidR="00037DF9" w:rsidRPr="00994881">
        <w:rPr>
          <w:rFonts w:ascii="Lora" w:hAnsi="Lora"/>
        </w:rPr>
        <w:t>of</w:t>
      </w:r>
      <w:r w:rsidR="00481BAF" w:rsidRPr="00994881">
        <w:rPr>
          <w:rFonts w:ascii="Lora" w:hAnsi="Lora"/>
        </w:rPr>
        <w:t xml:space="preserve"> </w:t>
      </w:r>
      <w:r w:rsidR="00037DF9" w:rsidRPr="00994881">
        <w:rPr>
          <w:rFonts w:ascii="Lora" w:hAnsi="Lora"/>
        </w:rPr>
        <w:t>wine</w:t>
      </w:r>
      <w:r w:rsidR="00D1509F" w:rsidRPr="00994881">
        <w:rPr>
          <w:rFonts w:ascii="Lora" w:hAnsi="Lora"/>
        </w:rPr>
        <w:t>s and</w:t>
      </w:r>
      <w:r w:rsidR="00037DF9" w:rsidRPr="00994881">
        <w:rPr>
          <w:rFonts w:ascii="Lora" w:hAnsi="Lora"/>
        </w:rPr>
        <w:t xml:space="preserve"> </w:t>
      </w:r>
      <w:r w:rsidR="00D1509F" w:rsidRPr="00994881">
        <w:rPr>
          <w:rFonts w:ascii="Lora" w:hAnsi="Lora"/>
        </w:rPr>
        <w:t xml:space="preserve">special </w:t>
      </w:r>
      <w:r w:rsidR="00037DF9" w:rsidRPr="00994881">
        <w:rPr>
          <w:rFonts w:ascii="Lora" w:hAnsi="Lora"/>
        </w:rPr>
        <w:t>wine</w:t>
      </w:r>
      <w:r w:rsidR="00D1509F" w:rsidRPr="00994881">
        <w:rPr>
          <w:rFonts w:ascii="Lora" w:hAnsi="Lora"/>
        </w:rPr>
        <w:t>s</w:t>
      </w:r>
      <w:r w:rsidR="00481BAF" w:rsidRPr="00994881">
        <w:rPr>
          <w:rFonts w:ascii="Lora" w:hAnsi="Lora"/>
        </w:rPr>
        <w:t xml:space="preserve"> as described in part C of this document</w:t>
      </w:r>
      <w:r w:rsidRPr="00994881">
        <w:rPr>
          <w:rFonts w:ascii="Lora" w:hAnsi="Lora"/>
        </w:rPr>
        <w:t>.</w:t>
      </w:r>
    </w:p>
    <w:p w14:paraId="20982B98" w14:textId="77777777" w:rsidR="00986D72" w:rsidRPr="00994881" w:rsidRDefault="00986D72" w:rsidP="00986D72">
      <w:pPr>
        <w:pStyle w:val="Paragraphedeliste"/>
        <w:spacing w:line="360" w:lineRule="auto"/>
        <w:rPr>
          <w:rFonts w:ascii="Lora" w:hAnsi="Lora"/>
        </w:rPr>
      </w:pPr>
    </w:p>
    <w:p w14:paraId="177F4AA0" w14:textId="417E3C91" w:rsidR="008F075E" w:rsidRPr="00994881" w:rsidRDefault="008F075E" w:rsidP="00994881">
      <w:pPr>
        <w:pStyle w:val="Titre2"/>
        <w:numPr>
          <w:ilvl w:val="0"/>
          <w:numId w:val="6"/>
        </w:numPr>
        <w:tabs>
          <w:tab w:val="left" w:pos="567"/>
        </w:tabs>
        <w:spacing w:before="240" w:line="264" w:lineRule="auto"/>
        <w:ind w:left="0" w:firstLine="0"/>
        <w:rPr>
          <w:rFonts w:ascii="Oswald" w:hAnsi="Oswald"/>
          <w:b/>
          <w:bCs/>
          <w:sz w:val="32"/>
          <w:szCs w:val="32"/>
        </w:rPr>
      </w:pPr>
      <w:r w:rsidRPr="00994881">
        <w:rPr>
          <w:rFonts w:ascii="Oswald" w:hAnsi="Oswald"/>
          <w:b/>
          <w:bCs/>
          <w:sz w:val="32"/>
          <w:szCs w:val="32"/>
        </w:rPr>
        <w:t xml:space="preserve">Rules for the implementation of </w:t>
      </w:r>
      <w:r w:rsidR="00084944" w:rsidRPr="00994881">
        <w:rPr>
          <w:rFonts w:ascii="Oswald" w:hAnsi="Oswald"/>
          <w:b/>
          <w:bCs/>
          <w:sz w:val="32"/>
          <w:szCs w:val="32"/>
        </w:rPr>
        <w:t xml:space="preserve">the </w:t>
      </w:r>
      <w:r w:rsidRPr="00994881">
        <w:rPr>
          <w:rFonts w:ascii="Oswald" w:hAnsi="Oswald"/>
          <w:b/>
          <w:bCs/>
          <w:sz w:val="32"/>
          <w:szCs w:val="32"/>
        </w:rPr>
        <w:t>analytical methods</w:t>
      </w:r>
    </w:p>
    <w:p w14:paraId="095EAC87" w14:textId="6CD65E20" w:rsidR="00AA055B" w:rsidRPr="00994881" w:rsidRDefault="00871D7A" w:rsidP="00AA055B">
      <w:pPr>
        <w:rPr>
          <w:rFonts w:ascii="Lora" w:hAnsi="Lora"/>
        </w:rPr>
      </w:pPr>
      <w:r w:rsidRPr="00994881">
        <w:rPr>
          <w:rFonts w:ascii="Lora" w:hAnsi="Lora"/>
        </w:rPr>
        <w:t>For</w:t>
      </w:r>
      <w:r w:rsidR="00AA055B" w:rsidRPr="00994881">
        <w:rPr>
          <w:rFonts w:ascii="Lora" w:hAnsi="Lora"/>
        </w:rPr>
        <w:t xml:space="preserve"> determining the </w:t>
      </w:r>
      <w:r w:rsidRPr="00994881">
        <w:rPr>
          <w:rFonts w:ascii="Lora" w:hAnsi="Lora"/>
        </w:rPr>
        <w:t xml:space="preserve">analytical </w:t>
      </w:r>
      <w:r w:rsidR="00AA055B" w:rsidRPr="00994881">
        <w:rPr>
          <w:rFonts w:ascii="Lora" w:hAnsi="Lora"/>
        </w:rPr>
        <w:t>parameters, priority should be given to the following methods of analysis:</w:t>
      </w:r>
    </w:p>
    <w:p w14:paraId="100D66B3" w14:textId="4CD0C05A" w:rsidR="00A6462B" w:rsidRPr="00994881" w:rsidRDefault="00376175" w:rsidP="00994881">
      <w:pPr>
        <w:pStyle w:val="Paragraphedeliste"/>
        <w:numPr>
          <w:ilvl w:val="0"/>
          <w:numId w:val="2"/>
        </w:numPr>
        <w:rPr>
          <w:rFonts w:ascii="Lora" w:hAnsi="Lora"/>
        </w:rPr>
      </w:pPr>
      <w:r w:rsidRPr="00994881">
        <w:rPr>
          <w:rFonts w:ascii="Lora" w:hAnsi="Lora"/>
        </w:rPr>
        <w:t xml:space="preserve">those adopted by the OIV and published in the OIV </w:t>
      </w:r>
      <w:r w:rsidRPr="00994881">
        <w:rPr>
          <w:rFonts w:ascii="Lora" w:hAnsi="Lora"/>
          <w:i/>
          <w:iCs/>
        </w:rPr>
        <w:t xml:space="preserve">Compendium of International Methods of </w:t>
      </w:r>
      <w:r w:rsidR="00346BF0" w:rsidRPr="00994881">
        <w:rPr>
          <w:rFonts w:ascii="Lora" w:hAnsi="Lora"/>
          <w:i/>
          <w:iCs/>
        </w:rPr>
        <w:t xml:space="preserve">Wine and Must </w:t>
      </w:r>
      <w:r w:rsidRPr="00994881">
        <w:rPr>
          <w:rFonts w:ascii="Lora" w:hAnsi="Lora"/>
          <w:i/>
          <w:iCs/>
        </w:rPr>
        <w:t>Analysis</w:t>
      </w:r>
      <w:r w:rsidRPr="00994881">
        <w:rPr>
          <w:rFonts w:ascii="Lora" w:hAnsi="Lora"/>
        </w:rPr>
        <w:t>;</w:t>
      </w:r>
    </w:p>
    <w:p w14:paraId="6D29A895" w14:textId="479314AA" w:rsidR="00AA055B" w:rsidRPr="00994881" w:rsidRDefault="00A6462B" w:rsidP="00AA055B">
      <w:pPr>
        <w:pStyle w:val="Paragraphedeliste"/>
        <w:numPr>
          <w:ilvl w:val="0"/>
          <w:numId w:val="2"/>
        </w:numPr>
        <w:rPr>
          <w:rFonts w:ascii="Lora" w:hAnsi="Lora"/>
        </w:rPr>
      </w:pPr>
      <w:r w:rsidRPr="00994881">
        <w:rPr>
          <w:rFonts w:ascii="Lora" w:hAnsi="Lora"/>
        </w:rPr>
        <w:t xml:space="preserve">those adopted by the </w:t>
      </w:r>
      <w:r w:rsidR="003439F9" w:rsidRPr="00994881">
        <w:rPr>
          <w:rFonts w:ascii="Lora" w:hAnsi="Lora"/>
        </w:rPr>
        <w:t>International Organisation for Standardisation (</w:t>
      </w:r>
      <w:r w:rsidRPr="00994881">
        <w:rPr>
          <w:rFonts w:ascii="Lora" w:hAnsi="Lora"/>
        </w:rPr>
        <w:t>ISO</w:t>
      </w:r>
      <w:r w:rsidR="003439F9" w:rsidRPr="00994881">
        <w:rPr>
          <w:rFonts w:ascii="Lora" w:hAnsi="Lora"/>
        </w:rPr>
        <w:t>)</w:t>
      </w:r>
      <w:r w:rsidRPr="00994881">
        <w:rPr>
          <w:rFonts w:ascii="Lora" w:hAnsi="Lora"/>
        </w:rPr>
        <w:t>;</w:t>
      </w:r>
    </w:p>
    <w:p w14:paraId="723547E0" w14:textId="44CA2703" w:rsidR="00376175" w:rsidRPr="00994881" w:rsidRDefault="00E961F6" w:rsidP="00376175">
      <w:pPr>
        <w:pStyle w:val="Paragraphedeliste"/>
        <w:numPr>
          <w:ilvl w:val="0"/>
          <w:numId w:val="2"/>
        </w:numPr>
        <w:rPr>
          <w:rFonts w:ascii="Lora" w:hAnsi="Lora"/>
        </w:rPr>
      </w:pPr>
      <w:r w:rsidRPr="00994881">
        <w:rPr>
          <w:rFonts w:ascii="Lora" w:hAnsi="Lora"/>
        </w:rPr>
        <w:t>those adopted by the other standardisation organisations</w:t>
      </w:r>
      <w:r w:rsidR="001C0220" w:rsidRPr="00994881">
        <w:rPr>
          <w:rFonts w:ascii="Lora" w:hAnsi="Lora"/>
        </w:rPr>
        <w:t>.</w:t>
      </w:r>
    </w:p>
    <w:p w14:paraId="488F208B" w14:textId="77777777" w:rsidR="00D1509F" w:rsidRPr="00994881" w:rsidRDefault="00D1509F" w:rsidP="00D1509F">
      <w:pPr>
        <w:rPr>
          <w:rFonts w:ascii="Lora" w:hAnsi="Lora"/>
        </w:rPr>
      </w:pPr>
    </w:p>
    <w:p w14:paraId="5A3EA047" w14:textId="3EE033E0" w:rsidR="005267FD" w:rsidRPr="00994881" w:rsidRDefault="00A019CB" w:rsidP="00994881">
      <w:pPr>
        <w:pStyle w:val="Titre2"/>
        <w:numPr>
          <w:ilvl w:val="0"/>
          <w:numId w:val="6"/>
        </w:numPr>
        <w:tabs>
          <w:tab w:val="left" w:pos="567"/>
        </w:tabs>
        <w:spacing w:before="240" w:line="264" w:lineRule="auto"/>
        <w:ind w:left="0" w:firstLine="0"/>
        <w:rPr>
          <w:rFonts w:ascii="Oswald" w:hAnsi="Oswald"/>
          <w:b/>
          <w:bCs/>
          <w:sz w:val="32"/>
          <w:szCs w:val="32"/>
        </w:rPr>
      </w:pPr>
      <w:r w:rsidRPr="00994881">
        <w:rPr>
          <w:rFonts w:ascii="Oswald" w:hAnsi="Oswald"/>
          <w:b/>
          <w:bCs/>
          <w:sz w:val="32"/>
          <w:szCs w:val="32"/>
        </w:rPr>
        <w:t>Commonly used Analytical Parameters for Wines and Sparkling Wines</w:t>
      </w:r>
    </w:p>
    <w:p w14:paraId="75D95EC4" w14:textId="77777777" w:rsidR="00D1509F" w:rsidRPr="00994881" w:rsidRDefault="00D1509F" w:rsidP="00A019CB">
      <w:pPr>
        <w:pStyle w:val="Paragraphedeliste"/>
        <w:rPr>
          <w:rFonts w:ascii="Lora" w:hAnsi="Lora"/>
          <w:b/>
          <w:bCs/>
        </w:rPr>
      </w:pPr>
    </w:p>
    <w:p w14:paraId="42EF4C68" w14:textId="608CE7F5" w:rsidR="00D1509F" w:rsidRPr="00994881" w:rsidRDefault="00A019CB" w:rsidP="00A019CB">
      <w:pPr>
        <w:rPr>
          <w:rFonts w:ascii="Lora" w:hAnsi="Lora"/>
        </w:rPr>
      </w:pPr>
      <w:r w:rsidRPr="00994881">
        <w:rPr>
          <w:rFonts w:ascii="Lora" w:hAnsi="Lora"/>
        </w:rPr>
        <w:t>Commonly used analytical parameters for wines and sparkling wines are</w:t>
      </w:r>
      <w:r w:rsidRPr="00994881">
        <w:rPr>
          <w:rFonts w:ascii="Lora" w:hAnsi="Lora"/>
          <w:b/>
          <w:bCs/>
        </w:rPr>
        <w:t xml:space="preserve"> </w:t>
      </w:r>
      <w:r w:rsidR="00D1509F" w:rsidRPr="00994881">
        <w:rPr>
          <w:rFonts w:ascii="Lora" w:hAnsi="Lora"/>
        </w:rPr>
        <w:t xml:space="preserve">the essential analytical parameters that make it possible to satisfactorily ensure that product characteristics are compliant with definitions and oenological practices of the OIV. </w:t>
      </w:r>
      <w:r w:rsidRPr="00994881">
        <w:rPr>
          <w:rFonts w:ascii="Lora" w:hAnsi="Lora"/>
        </w:rPr>
        <w:t xml:space="preserve">These parameters can </w:t>
      </w:r>
      <w:r w:rsidR="00D1509F" w:rsidRPr="00994881">
        <w:rPr>
          <w:rFonts w:ascii="Lora" w:hAnsi="Lora"/>
        </w:rPr>
        <w:t xml:space="preserve">serve as a basis for </w:t>
      </w:r>
      <w:r w:rsidR="0087363B" w:rsidRPr="00994881">
        <w:rPr>
          <w:rFonts w:ascii="Lora" w:hAnsi="Lora"/>
        </w:rPr>
        <w:t xml:space="preserve">trade or </w:t>
      </w:r>
      <w:r w:rsidR="00D1509F" w:rsidRPr="00994881">
        <w:rPr>
          <w:rFonts w:ascii="Lora" w:hAnsi="Lora"/>
        </w:rPr>
        <w:t xml:space="preserve">commercial transactions. </w:t>
      </w:r>
    </w:p>
    <w:p w14:paraId="4F9139B2" w14:textId="77777777" w:rsidR="00A019CB" w:rsidRPr="00994881" w:rsidRDefault="00A019CB" w:rsidP="00A019CB">
      <w:pPr>
        <w:rPr>
          <w:rFonts w:ascii="Lora" w:hAnsi="Lora"/>
        </w:rPr>
      </w:pPr>
      <w:r w:rsidRPr="00994881">
        <w:rPr>
          <w:rFonts w:ascii="Lora" w:hAnsi="Lora"/>
        </w:rPr>
        <w:t>Other parameters can be used by member states according to their own requirements.</w:t>
      </w:r>
    </w:p>
    <w:p w14:paraId="501C4D9B" w14:textId="19ED6A95" w:rsidR="00D1509F" w:rsidRPr="00994881" w:rsidRDefault="00A543CC" w:rsidP="00994881">
      <w:pPr>
        <w:pStyle w:val="Titre2"/>
        <w:numPr>
          <w:ilvl w:val="0"/>
          <w:numId w:val="6"/>
        </w:numPr>
        <w:tabs>
          <w:tab w:val="left" w:pos="567"/>
        </w:tabs>
        <w:spacing w:before="240" w:line="264" w:lineRule="auto"/>
        <w:ind w:left="0" w:firstLine="0"/>
        <w:rPr>
          <w:rFonts w:ascii="Oswald" w:hAnsi="Oswald"/>
          <w:b/>
          <w:bCs/>
          <w:sz w:val="32"/>
          <w:szCs w:val="32"/>
        </w:rPr>
      </w:pPr>
      <w:r w:rsidRPr="00994881">
        <w:rPr>
          <w:rFonts w:ascii="Oswald" w:hAnsi="Oswald"/>
          <w:b/>
          <w:bCs/>
          <w:sz w:val="32"/>
          <w:szCs w:val="32"/>
        </w:rPr>
        <w:t xml:space="preserve">Analytical parameters </w:t>
      </w:r>
    </w:p>
    <w:p w14:paraId="74FC1C09" w14:textId="65EA6A70" w:rsidR="001C0220" w:rsidRPr="00994881" w:rsidRDefault="00A019CB" w:rsidP="00994881">
      <w:pPr>
        <w:rPr>
          <w:rFonts w:ascii="Lora" w:hAnsi="Lora"/>
        </w:rPr>
      </w:pPr>
      <w:r w:rsidRPr="00994881">
        <w:rPr>
          <w:rFonts w:ascii="Lora" w:hAnsi="Lora"/>
        </w:rPr>
        <w:t>Commonly used analytical parameters for wines and sparkling wines</w:t>
      </w:r>
      <w:r w:rsidRPr="00994881" w:rsidDel="00A019CB">
        <w:rPr>
          <w:rFonts w:ascii="Lora" w:hAnsi="Lora"/>
        </w:rPr>
        <w:t xml:space="preserve"> </w:t>
      </w:r>
      <w:r w:rsidRPr="00994881">
        <w:rPr>
          <w:rFonts w:ascii="Lora" w:hAnsi="Lora"/>
        </w:rPr>
        <w:t>include:</w:t>
      </w:r>
      <w:r w:rsidRPr="00994881">
        <w:rPr>
          <w:rFonts w:ascii="Lora" w:hAnsi="Lora"/>
          <w:u w:val="single"/>
        </w:rPr>
        <w:t xml:space="preserve"> </w:t>
      </w:r>
    </w:p>
    <w:p w14:paraId="79CD9429" w14:textId="0FAA0CE6" w:rsidR="00D46E58" w:rsidRPr="00994881" w:rsidRDefault="00D46E58" w:rsidP="00A019CB">
      <w:pPr>
        <w:rPr>
          <w:rFonts w:ascii="Lora" w:hAnsi="Lora"/>
        </w:rPr>
      </w:pPr>
      <w:r w:rsidRPr="00994881">
        <w:rPr>
          <w:rFonts w:ascii="Lora" w:hAnsi="Lora"/>
        </w:rPr>
        <w:t xml:space="preserve">- </w:t>
      </w:r>
      <w:r w:rsidR="007F14E8" w:rsidRPr="00994881">
        <w:rPr>
          <w:rFonts w:ascii="Lora" w:hAnsi="Lora"/>
        </w:rPr>
        <w:t>Density</w:t>
      </w:r>
      <w:r w:rsidRPr="00994881">
        <w:rPr>
          <w:rFonts w:ascii="Lora" w:hAnsi="Lora"/>
        </w:rPr>
        <w:t xml:space="preserve"> at 20</w:t>
      </w:r>
      <w:r w:rsidR="00C0675F" w:rsidRPr="00994881">
        <w:rPr>
          <w:rFonts w:ascii="Lora" w:hAnsi="Lora"/>
        </w:rPr>
        <w:t xml:space="preserve"> </w:t>
      </w:r>
      <w:r w:rsidRPr="00994881">
        <w:rPr>
          <w:rFonts w:ascii="Lora" w:hAnsi="Lora"/>
        </w:rPr>
        <w:t>°C</w:t>
      </w:r>
      <w:r w:rsidR="00A019CB" w:rsidRPr="00994881">
        <w:rPr>
          <w:rFonts w:ascii="Lora" w:hAnsi="Lora"/>
        </w:rPr>
        <w:t xml:space="preserve"> (g/cm</w:t>
      </w:r>
      <w:r w:rsidR="00A019CB" w:rsidRPr="00994881">
        <w:rPr>
          <w:rFonts w:ascii="Lora" w:hAnsi="Lora"/>
          <w:vertAlign w:val="superscript"/>
        </w:rPr>
        <w:t>3</w:t>
      </w:r>
      <w:r w:rsidR="00A019CB" w:rsidRPr="00994881">
        <w:rPr>
          <w:rFonts w:ascii="Lora" w:hAnsi="Lora"/>
        </w:rPr>
        <w:t>)</w:t>
      </w:r>
    </w:p>
    <w:p w14:paraId="5EB9E234" w14:textId="6D0249FD" w:rsidR="00D46E58" w:rsidRPr="00994881" w:rsidRDefault="00D46E58" w:rsidP="00A019CB">
      <w:pPr>
        <w:rPr>
          <w:rFonts w:ascii="Lora" w:hAnsi="Lora"/>
        </w:rPr>
      </w:pPr>
      <w:r w:rsidRPr="00994881">
        <w:rPr>
          <w:rFonts w:ascii="Lora" w:hAnsi="Lora"/>
        </w:rPr>
        <w:t xml:space="preserve">- Alcoholic </w:t>
      </w:r>
      <w:r w:rsidR="001C0220" w:rsidRPr="00994881">
        <w:rPr>
          <w:rFonts w:ascii="Lora" w:hAnsi="Lora"/>
        </w:rPr>
        <w:t xml:space="preserve">strength by volume </w:t>
      </w:r>
      <w:r w:rsidRPr="00994881">
        <w:rPr>
          <w:rFonts w:ascii="Lora" w:hAnsi="Lora"/>
        </w:rPr>
        <w:t>at 20</w:t>
      </w:r>
      <w:r w:rsidR="00C0675F" w:rsidRPr="00994881">
        <w:rPr>
          <w:rFonts w:ascii="Lora" w:hAnsi="Lora"/>
        </w:rPr>
        <w:t xml:space="preserve"> </w:t>
      </w:r>
      <w:r w:rsidRPr="00994881">
        <w:rPr>
          <w:rFonts w:ascii="Lora" w:hAnsi="Lora"/>
        </w:rPr>
        <w:t>°C</w:t>
      </w:r>
      <w:r w:rsidR="001C0220" w:rsidRPr="00994881">
        <w:rPr>
          <w:rFonts w:ascii="Lora" w:hAnsi="Lora"/>
        </w:rPr>
        <w:t xml:space="preserve"> (% vol) (g/L)</w:t>
      </w:r>
    </w:p>
    <w:p w14:paraId="1C27C1BB" w14:textId="23427D3E" w:rsidR="00D46E58" w:rsidRPr="00994881" w:rsidRDefault="00D46E58" w:rsidP="00A019CB">
      <w:pPr>
        <w:rPr>
          <w:rFonts w:ascii="Lora" w:hAnsi="Lora"/>
        </w:rPr>
      </w:pPr>
      <w:r w:rsidRPr="00994881">
        <w:rPr>
          <w:rFonts w:ascii="Lora" w:hAnsi="Lora"/>
        </w:rPr>
        <w:t xml:space="preserve">- </w:t>
      </w:r>
      <w:r w:rsidR="00A021CE" w:rsidRPr="00994881">
        <w:rPr>
          <w:rFonts w:ascii="Lora" w:hAnsi="Lora"/>
        </w:rPr>
        <w:t>S</w:t>
      </w:r>
      <w:r w:rsidR="00465F35" w:rsidRPr="00994881">
        <w:rPr>
          <w:rFonts w:ascii="Lora" w:hAnsi="Lora"/>
        </w:rPr>
        <w:t xml:space="preserve">um of </w:t>
      </w:r>
      <w:r w:rsidRPr="00994881">
        <w:rPr>
          <w:rFonts w:ascii="Lora" w:hAnsi="Lora"/>
        </w:rPr>
        <w:t xml:space="preserve">Glucose </w:t>
      </w:r>
      <w:r w:rsidR="00465F35" w:rsidRPr="00994881">
        <w:rPr>
          <w:rFonts w:ascii="Lora" w:hAnsi="Lora"/>
        </w:rPr>
        <w:t>and</w:t>
      </w:r>
      <w:r w:rsidRPr="00994881">
        <w:rPr>
          <w:rFonts w:ascii="Lora" w:hAnsi="Lora"/>
        </w:rPr>
        <w:t xml:space="preserve"> Fructose</w:t>
      </w:r>
      <w:r w:rsidR="00A021CE" w:rsidRPr="00994881">
        <w:rPr>
          <w:rFonts w:ascii="Lora" w:hAnsi="Lora"/>
        </w:rPr>
        <w:t xml:space="preserve"> (g/L)</w:t>
      </w:r>
    </w:p>
    <w:p w14:paraId="3C3FD86F" w14:textId="77777777" w:rsidR="00D46E58" w:rsidRPr="00994881" w:rsidRDefault="00D46E58" w:rsidP="00A019CB">
      <w:pPr>
        <w:rPr>
          <w:rFonts w:ascii="Lora" w:hAnsi="Lora"/>
        </w:rPr>
      </w:pPr>
      <w:r w:rsidRPr="00994881">
        <w:rPr>
          <w:rFonts w:ascii="Lora" w:hAnsi="Lora"/>
        </w:rPr>
        <w:t xml:space="preserve">- Total </w:t>
      </w:r>
      <w:proofErr w:type="spellStart"/>
      <w:r w:rsidRPr="00994881">
        <w:rPr>
          <w:rFonts w:ascii="Lora" w:hAnsi="Lora"/>
        </w:rPr>
        <w:t>sulfur</w:t>
      </w:r>
      <w:proofErr w:type="spellEnd"/>
      <w:r w:rsidRPr="00994881">
        <w:rPr>
          <w:rFonts w:ascii="Lora" w:hAnsi="Lora"/>
        </w:rPr>
        <w:t xml:space="preserve"> dioxide (mg/L)</w:t>
      </w:r>
    </w:p>
    <w:p w14:paraId="785EE852" w14:textId="46BAB75A" w:rsidR="00D46E58" w:rsidRPr="00994881" w:rsidRDefault="00D46E58" w:rsidP="00A019CB">
      <w:pPr>
        <w:rPr>
          <w:rFonts w:ascii="Lora" w:hAnsi="Lora"/>
        </w:rPr>
      </w:pPr>
      <w:r w:rsidRPr="00994881">
        <w:rPr>
          <w:rFonts w:ascii="Lora" w:hAnsi="Lora"/>
        </w:rPr>
        <w:t>- Total acidity (</w:t>
      </w:r>
      <w:proofErr w:type="spellStart"/>
      <w:r w:rsidRPr="00994881">
        <w:rPr>
          <w:rFonts w:ascii="Lora" w:hAnsi="Lora"/>
        </w:rPr>
        <w:t>mEq</w:t>
      </w:r>
      <w:proofErr w:type="spellEnd"/>
      <w:r w:rsidRPr="00994881">
        <w:rPr>
          <w:rFonts w:ascii="Lora" w:hAnsi="Lora"/>
        </w:rPr>
        <w:t>/L) or</w:t>
      </w:r>
      <w:r w:rsidR="001C0220" w:rsidRPr="00994881">
        <w:rPr>
          <w:rFonts w:ascii="Lora" w:hAnsi="Lora"/>
        </w:rPr>
        <w:t xml:space="preserve"> (g/L)</w:t>
      </w:r>
    </w:p>
    <w:p w14:paraId="6C03955C" w14:textId="7C4CA75F" w:rsidR="00D46E58" w:rsidRPr="00994881" w:rsidRDefault="00D46E58" w:rsidP="00A019CB">
      <w:pPr>
        <w:rPr>
          <w:rFonts w:ascii="Lora" w:hAnsi="Lora"/>
        </w:rPr>
      </w:pPr>
      <w:r w:rsidRPr="00994881">
        <w:rPr>
          <w:rFonts w:ascii="Lora" w:hAnsi="Lora"/>
        </w:rPr>
        <w:t xml:space="preserve">- </w:t>
      </w:r>
      <w:r w:rsidR="00811F5F" w:rsidRPr="00994881">
        <w:rPr>
          <w:rFonts w:ascii="Lora" w:hAnsi="Lora"/>
        </w:rPr>
        <w:t xml:space="preserve">Volatile </w:t>
      </w:r>
      <w:r w:rsidRPr="00994881">
        <w:rPr>
          <w:rFonts w:ascii="Lora" w:hAnsi="Lora"/>
        </w:rPr>
        <w:t>acidity (</w:t>
      </w:r>
      <w:proofErr w:type="spellStart"/>
      <w:r w:rsidRPr="00994881">
        <w:rPr>
          <w:rFonts w:ascii="Lora" w:hAnsi="Lora"/>
        </w:rPr>
        <w:t>mEq</w:t>
      </w:r>
      <w:proofErr w:type="spellEnd"/>
      <w:r w:rsidRPr="00994881">
        <w:rPr>
          <w:rFonts w:ascii="Lora" w:hAnsi="Lora"/>
        </w:rPr>
        <w:t xml:space="preserve">/L) or </w:t>
      </w:r>
      <w:r w:rsidR="001C0220" w:rsidRPr="00994881">
        <w:rPr>
          <w:rFonts w:ascii="Lora" w:hAnsi="Lora"/>
        </w:rPr>
        <w:t>(g/L)</w:t>
      </w:r>
      <w:r w:rsidR="001C0220" w:rsidRPr="00994881">
        <w:rPr>
          <w:rStyle w:val="Appeldenotedefin"/>
          <w:rFonts w:ascii="Lora" w:hAnsi="Lora"/>
        </w:rPr>
        <w:endnoteReference w:id="1"/>
      </w:r>
    </w:p>
    <w:p w14:paraId="6861924C" w14:textId="020F6DE6" w:rsidR="00811F5F" w:rsidRPr="00994881" w:rsidRDefault="00811F5F" w:rsidP="00A019CB">
      <w:pPr>
        <w:rPr>
          <w:rFonts w:ascii="Lora" w:hAnsi="Lora"/>
        </w:rPr>
      </w:pPr>
      <w:r w:rsidRPr="00994881">
        <w:rPr>
          <w:rFonts w:ascii="Lora" w:hAnsi="Lora"/>
        </w:rPr>
        <w:t>- pH</w:t>
      </w:r>
    </w:p>
    <w:p w14:paraId="6085E920" w14:textId="11457596" w:rsidR="00D46E58" w:rsidRPr="00994881" w:rsidRDefault="00D46E58" w:rsidP="00A019CB">
      <w:pPr>
        <w:rPr>
          <w:rFonts w:ascii="Lora" w:hAnsi="Lora"/>
        </w:rPr>
      </w:pPr>
      <w:r w:rsidRPr="00994881">
        <w:rPr>
          <w:rFonts w:ascii="Lora" w:hAnsi="Lora"/>
        </w:rPr>
        <w:t>- Over-pressure measurement of carbon dioxide in sparkling wines</w:t>
      </w:r>
      <w:r w:rsidR="001C0220" w:rsidRPr="00994881">
        <w:rPr>
          <w:rFonts w:ascii="Lora" w:hAnsi="Lora"/>
        </w:rPr>
        <w:t xml:space="preserve"> (bar)</w:t>
      </w:r>
    </w:p>
    <w:p w14:paraId="0C4D5076" w14:textId="46F60741" w:rsidR="00F1105B" w:rsidRPr="00994881" w:rsidRDefault="00D46E58" w:rsidP="00A019CB">
      <w:pPr>
        <w:rPr>
          <w:rFonts w:ascii="Lora" w:hAnsi="Lora"/>
        </w:rPr>
      </w:pPr>
      <w:r w:rsidRPr="00994881">
        <w:rPr>
          <w:rFonts w:ascii="Lora" w:hAnsi="Lora"/>
        </w:rPr>
        <w:t>- Saccharose in sparkling</w:t>
      </w:r>
      <w:r w:rsidR="001C0220" w:rsidRPr="00994881">
        <w:rPr>
          <w:rFonts w:ascii="Lora" w:hAnsi="Lora"/>
        </w:rPr>
        <w:t xml:space="preserve"> and semi-sparkling</w:t>
      </w:r>
      <w:r w:rsidRPr="00994881">
        <w:rPr>
          <w:rFonts w:ascii="Lora" w:hAnsi="Lora"/>
        </w:rPr>
        <w:t xml:space="preserve"> wines</w:t>
      </w:r>
      <w:r w:rsidR="00A021CE" w:rsidRPr="00994881">
        <w:rPr>
          <w:rFonts w:ascii="Lora" w:hAnsi="Lora"/>
        </w:rPr>
        <w:t xml:space="preserve"> (g/L)</w:t>
      </w:r>
    </w:p>
    <w:sectPr w:rsidR="00F1105B" w:rsidRPr="00994881" w:rsidSect="009432D6">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45E65" w14:textId="77777777" w:rsidR="00A070E9" w:rsidRDefault="00A070E9" w:rsidP="005F02F9">
      <w:pPr>
        <w:spacing w:after="0" w:line="240" w:lineRule="auto"/>
      </w:pPr>
      <w:r>
        <w:separator/>
      </w:r>
    </w:p>
  </w:endnote>
  <w:endnote w:type="continuationSeparator" w:id="0">
    <w:p w14:paraId="7B015548" w14:textId="77777777" w:rsidR="00A070E9" w:rsidRDefault="00A070E9" w:rsidP="005F02F9">
      <w:pPr>
        <w:spacing w:after="0" w:line="240" w:lineRule="auto"/>
      </w:pPr>
      <w:r>
        <w:continuationSeparator/>
      </w:r>
    </w:p>
  </w:endnote>
  <w:endnote w:id="1">
    <w:p w14:paraId="40B060CD" w14:textId="1A8A93AE" w:rsidR="001C0220" w:rsidRDefault="001C0220">
      <w:pPr>
        <w:pStyle w:val="Notedefin"/>
      </w:pPr>
      <w:r>
        <w:rPr>
          <w:rStyle w:val="Appeldenotedefin"/>
        </w:rPr>
        <w:endnoteRef/>
      </w:r>
      <w:r>
        <w:t xml:space="preserve"> 1 The volatile acidity is derived from the acids of the acetic series present in wine in the free state and combined as salts. as described in Method OIV-MA-AS313-02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ora">
    <w:charset w:val="00"/>
    <w:family w:val="auto"/>
    <w:pitch w:val="variable"/>
    <w:sig w:usb0="A00002FF" w:usb1="5000204B" w:usb2="00000000" w:usb3="00000000" w:csb0="00000097"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Oswald">
    <w:charset w:val="00"/>
    <w:family w:val="auto"/>
    <w:pitch w:val="variable"/>
    <w:sig w:usb0="2000020F" w:usb1="00000000"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3EC96" w14:textId="77777777" w:rsidR="009432D6" w:rsidRDefault="009432D6" w:rsidP="009432D6">
    <w:pPr>
      <w:pStyle w:val="Pieddepage"/>
      <w:jc w:val="right"/>
    </w:pPr>
    <w:r>
      <w:fldChar w:fldCharType="begin"/>
    </w:r>
    <w:r>
      <w:instrText>PAGE   \* MERGEFORMAT</w:instrText>
    </w:r>
    <w:r>
      <w:fldChar w:fldCharType="separate"/>
    </w:r>
    <w:r w:rsidR="007F14E8">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1C6D1" w14:textId="77777777" w:rsidR="009432D6" w:rsidRDefault="009432D6" w:rsidP="009432D6">
    <w:pPr>
      <w:pStyle w:val="Pieddepage"/>
      <w:jc w:val="right"/>
    </w:pPr>
    <w:r>
      <w:fldChar w:fldCharType="begin"/>
    </w:r>
    <w:r>
      <w:instrText>PAGE   \* MERGEFORMAT</w:instrText>
    </w:r>
    <w:r>
      <w:fldChar w:fldCharType="separate"/>
    </w:r>
    <w:r w:rsidR="007F14E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B5403" w14:textId="77777777" w:rsidR="00A070E9" w:rsidRDefault="00A070E9" w:rsidP="005F02F9">
      <w:pPr>
        <w:spacing w:after="0" w:line="240" w:lineRule="auto"/>
      </w:pPr>
      <w:r>
        <w:separator/>
      </w:r>
    </w:p>
  </w:footnote>
  <w:footnote w:type="continuationSeparator" w:id="0">
    <w:p w14:paraId="662801F9" w14:textId="77777777" w:rsidR="00A070E9" w:rsidRDefault="00A070E9" w:rsidP="005F02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FB0DA" w14:textId="23BDE146" w:rsidR="00982F6E" w:rsidRDefault="009432D6" w:rsidP="00982F6E">
    <w:pPr>
      <w:pStyle w:val="En-tte"/>
      <w:jc w:val="right"/>
    </w:pPr>
    <w:r>
      <w:t>OENO-SCMA 21-712</w:t>
    </w:r>
    <w:r w:rsidR="002F6888">
      <w:t>A</w:t>
    </w:r>
    <w:r>
      <w:t xml:space="preserve"> Et</w:t>
    </w:r>
    <w:r w:rsidR="005D3D21">
      <w:t>7</w:t>
    </w:r>
  </w:p>
  <w:p w14:paraId="0898ED8E" w14:textId="4677F459" w:rsidR="009432D6" w:rsidRPr="006D7E03" w:rsidRDefault="009432D6" w:rsidP="009432D6">
    <w:pPr>
      <w:pStyle w:val="En-tte"/>
      <w:jc w:val="right"/>
      <w:rPr>
        <w:i/>
      </w:rPr>
    </w:pPr>
    <w:r>
      <w:rPr>
        <w:i/>
      </w:rPr>
      <w:t>Version 10/202</w:t>
    </w:r>
    <w:r w:rsidR="005D3D21">
      <w:rPr>
        <w:i/>
      </w:rPr>
      <w:t>4</w:t>
    </w:r>
  </w:p>
  <w:p w14:paraId="6DDE0C6B" w14:textId="77777777" w:rsidR="00C4640A" w:rsidRDefault="00C4640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22FFF" w14:textId="02E5E3D6" w:rsidR="009432D6" w:rsidRDefault="009432D6" w:rsidP="009432D6">
    <w:pPr>
      <w:pStyle w:val="En-tte"/>
      <w:jc w:val="right"/>
    </w:pPr>
    <w:r>
      <w:t>OENO-SCMA 21-712</w:t>
    </w:r>
    <w:r w:rsidR="002F6888">
      <w:t>A</w:t>
    </w:r>
    <w:r>
      <w:t xml:space="preserve"> Et</w:t>
    </w:r>
    <w:r w:rsidR="005D3D21">
      <w:t>7</w:t>
    </w:r>
  </w:p>
  <w:p w14:paraId="73180966" w14:textId="486232A0" w:rsidR="009432D6" w:rsidRPr="006D7E03" w:rsidRDefault="009432D6" w:rsidP="009432D6">
    <w:pPr>
      <w:pStyle w:val="En-tte"/>
      <w:jc w:val="right"/>
      <w:rPr>
        <w:i/>
      </w:rPr>
    </w:pPr>
    <w:r>
      <w:rPr>
        <w:i/>
      </w:rPr>
      <w:t>Version 10/202</w:t>
    </w:r>
    <w:r w:rsidR="005D3D21">
      <w:rPr>
        <w:i/>
      </w:rPr>
      <w:t>4</w:t>
    </w:r>
  </w:p>
  <w:p w14:paraId="7C2D7DFF" w14:textId="77777777" w:rsidR="009432D6" w:rsidRPr="006D7E03" w:rsidRDefault="009432D6" w:rsidP="009432D6">
    <w:pPr>
      <w:pStyle w:val="En-tte"/>
      <w:jc w:val="right"/>
      <w:rPr>
        <w:i/>
      </w:rPr>
    </w:pPr>
  </w:p>
  <w:tbl>
    <w:tblPr>
      <w:tblW w:w="9493" w:type="dxa"/>
      <w:jc w:val="center"/>
      <w:tblLayout w:type="fixed"/>
      <w:tblCellMar>
        <w:left w:w="70" w:type="dxa"/>
        <w:right w:w="70" w:type="dxa"/>
      </w:tblCellMar>
      <w:tblLook w:val="0000" w:firstRow="0" w:lastRow="0" w:firstColumn="0" w:lastColumn="0" w:noHBand="0" w:noVBand="0"/>
    </w:tblPr>
    <w:tblGrid>
      <w:gridCol w:w="1054"/>
      <w:gridCol w:w="1055"/>
      <w:gridCol w:w="1055"/>
      <w:gridCol w:w="1055"/>
      <w:gridCol w:w="1054"/>
      <w:gridCol w:w="1055"/>
      <w:gridCol w:w="1055"/>
      <w:gridCol w:w="1055"/>
      <w:gridCol w:w="1055"/>
    </w:tblGrid>
    <w:tr w:rsidR="009432D6" w:rsidRPr="006D7E03" w14:paraId="1A40A346" w14:textId="77777777" w:rsidTr="00803F0E">
      <w:trPr>
        <w:trHeight w:hRule="exact" w:val="227"/>
        <w:jc w:val="center"/>
      </w:trPr>
      <w:tc>
        <w:tcPr>
          <w:tcW w:w="1054" w:type="dxa"/>
          <w:tcBorders>
            <w:top w:val="single" w:sz="4" w:space="0" w:color="000000"/>
            <w:left w:val="single" w:sz="4" w:space="0" w:color="000000"/>
            <w:bottom w:val="single" w:sz="4" w:space="0" w:color="000000"/>
          </w:tcBorders>
        </w:tcPr>
        <w:p w14:paraId="784787DC" w14:textId="77777777" w:rsidR="009432D6" w:rsidRPr="006D7E03" w:rsidRDefault="009432D6" w:rsidP="009432D6">
          <w:pPr>
            <w:snapToGrid w:val="0"/>
            <w:jc w:val="center"/>
            <w:rPr>
              <w:sz w:val="20"/>
              <w:szCs w:val="20"/>
            </w:rPr>
          </w:pPr>
          <w:r>
            <w:rPr>
              <w:sz w:val="20"/>
              <w:szCs w:val="20"/>
            </w:rPr>
            <w:t>STEP</w:t>
          </w:r>
        </w:p>
      </w:tc>
      <w:tc>
        <w:tcPr>
          <w:tcW w:w="1055" w:type="dxa"/>
          <w:tcBorders>
            <w:top w:val="single" w:sz="4" w:space="0" w:color="000000"/>
            <w:left w:val="single" w:sz="4" w:space="0" w:color="000000"/>
            <w:bottom w:val="single" w:sz="4" w:space="0" w:color="000000"/>
          </w:tcBorders>
        </w:tcPr>
        <w:p w14:paraId="6B33F63C" w14:textId="77777777" w:rsidR="009432D6" w:rsidRPr="006D7E03" w:rsidRDefault="009432D6" w:rsidP="009432D6">
          <w:pPr>
            <w:snapToGrid w:val="0"/>
            <w:jc w:val="center"/>
            <w:rPr>
              <w:position w:val="-5"/>
              <w:sz w:val="20"/>
              <w:szCs w:val="20"/>
            </w:rPr>
          </w:pPr>
          <w:r>
            <w:rPr>
              <w:sz w:val="20"/>
              <w:szCs w:val="20"/>
            </w:rPr>
            <w:t>1</w:t>
          </w:r>
        </w:p>
      </w:tc>
      <w:tc>
        <w:tcPr>
          <w:tcW w:w="1055" w:type="dxa"/>
          <w:tcBorders>
            <w:top w:val="single" w:sz="4" w:space="0" w:color="000000"/>
            <w:left w:val="single" w:sz="4" w:space="0" w:color="000000"/>
            <w:bottom w:val="single" w:sz="4" w:space="0" w:color="000000"/>
          </w:tcBorders>
        </w:tcPr>
        <w:p w14:paraId="437A4A9E" w14:textId="77777777" w:rsidR="009432D6" w:rsidRPr="006D7E03" w:rsidRDefault="009432D6" w:rsidP="009432D6">
          <w:pPr>
            <w:snapToGrid w:val="0"/>
            <w:jc w:val="center"/>
            <w:rPr>
              <w:position w:val="-5"/>
              <w:sz w:val="20"/>
              <w:szCs w:val="20"/>
            </w:rPr>
          </w:pPr>
          <w:r>
            <w:rPr>
              <w:sz w:val="20"/>
              <w:szCs w:val="20"/>
            </w:rPr>
            <w:t>2</w:t>
          </w:r>
        </w:p>
      </w:tc>
      <w:tc>
        <w:tcPr>
          <w:tcW w:w="1055" w:type="dxa"/>
          <w:tcBorders>
            <w:top w:val="single" w:sz="4" w:space="0" w:color="000000"/>
            <w:left w:val="single" w:sz="4" w:space="0" w:color="000000"/>
            <w:bottom w:val="single" w:sz="4" w:space="0" w:color="000000"/>
          </w:tcBorders>
        </w:tcPr>
        <w:p w14:paraId="458D5BC0" w14:textId="77777777" w:rsidR="009432D6" w:rsidRPr="006D7E03" w:rsidRDefault="009432D6" w:rsidP="009432D6">
          <w:pPr>
            <w:snapToGrid w:val="0"/>
            <w:jc w:val="center"/>
            <w:rPr>
              <w:position w:val="-5"/>
              <w:sz w:val="20"/>
              <w:szCs w:val="20"/>
            </w:rPr>
          </w:pPr>
          <w:r>
            <w:rPr>
              <w:sz w:val="20"/>
              <w:szCs w:val="20"/>
            </w:rPr>
            <w:t>3</w:t>
          </w:r>
        </w:p>
      </w:tc>
      <w:tc>
        <w:tcPr>
          <w:tcW w:w="1054" w:type="dxa"/>
          <w:tcBorders>
            <w:top w:val="single" w:sz="4" w:space="0" w:color="000000"/>
            <w:left w:val="single" w:sz="4" w:space="0" w:color="000000"/>
            <w:bottom w:val="single" w:sz="4" w:space="0" w:color="000000"/>
          </w:tcBorders>
        </w:tcPr>
        <w:p w14:paraId="5B05B21C" w14:textId="77777777" w:rsidR="009432D6" w:rsidRPr="006D7E03" w:rsidRDefault="009432D6" w:rsidP="009432D6">
          <w:pPr>
            <w:snapToGrid w:val="0"/>
            <w:jc w:val="center"/>
            <w:rPr>
              <w:position w:val="-5"/>
              <w:sz w:val="20"/>
              <w:szCs w:val="20"/>
            </w:rPr>
          </w:pPr>
          <w:r>
            <w:rPr>
              <w:sz w:val="20"/>
              <w:szCs w:val="20"/>
            </w:rPr>
            <w:t>4</w:t>
          </w:r>
        </w:p>
      </w:tc>
      <w:tc>
        <w:tcPr>
          <w:tcW w:w="1055" w:type="dxa"/>
          <w:tcBorders>
            <w:top w:val="single" w:sz="4" w:space="0" w:color="000000"/>
            <w:left w:val="single" w:sz="4" w:space="0" w:color="000000"/>
            <w:bottom w:val="single" w:sz="4" w:space="0" w:color="000000"/>
          </w:tcBorders>
        </w:tcPr>
        <w:p w14:paraId="048EC274" w14:textId="77777777" w:rsidR="009432D6" w:rsidRPr="006D7E03" w:rsidRDefault="009432D6" w:rsidP="009432D6">
          <w:pPr>
            <w:snapToGrid w:val="0"/>
            <w:jc w:val="center"/>
            <w:rPr>
              <w:position w:val="-5"/>
              <w:sz w:val="20"/>
              <w:szCs w:val="20"/>
            </w:rPr>
          </w:pPr>
          <w:r>
            <w:rPr>
              <w:sz w:val="20"/>
              <w:szCs w:val="20"/>
            </w:rPr>
            <w:t>5</w:t>
          </w:r>
        </w:p>
      </w:tc>
      <w:tc>
        <w:tcPr>
          <w:tcW w:w="1055" w:type="dxa"/>
          <w:tcBorders>
            <w:top w:val="single" w:sz="4" w:space="0" w:color="000000"/>
            <w:left w:val="single" w:sz="4" w:space="0" w:color="000000"/>
            <w:bottom w:val="single" w:sz="4" w:space="0" w:color="000000"/>
          </w:tcBorders>
        </w:tcPr>
        <w:p w14:paraId="73C68D4A" w14:textId="77777777" w:rsidR="009432D6" w:rsidRPr="006D7E03" w:rsidRDefault="009432D6" w:rsidP="009432D6">
          <w:pPr>
            <w:snapToGrid w:val="0"/>
            <w:jc w:val="center"/>
            <w:rPr>
              <w:position w:val="-5"/>
              <w:sz w:val="20"/>
              <w:szCs w:val="20"/>
            </w:rPr>
          </w:pPr>
          <w:r>
            <w:rPr>
              <w:sz w:val="20"/>
              <w:szCs w:val="20"/>
            </w:rPr>
            <w:t>6</w:t>
          </w:r>
        </w:p>
      </w:tc>
      <w:tc>
        <w:tcPr>
          <w:tcW w:w="1055" w:type="dxa"/>
          <w:tcBorders>
            <w:top w:val="single" w:sz="4" w:space="0" w:color="000000"/>
            <w:left w:val="single" w:sz="4" w:space="0" w:color="000000"/>
            <w:bottom w:val="single" w:sz="4" w:space="0" w:color="000000"/>
          </w:tcBorders>
        </w:tcPr>
        <w:p w14:paraId="23275615" w14:textId="77777777" w:rsidR="009432D6" w:rsidRPr="006D7E03" w:rsidRDefault="009432D6" w:rsidP="009432D6">
          <w:pPr>
            <w:snapToGrid w:val="0"/>
            <w:jc w:val="center"/>
            <w:rPr>
              <w:position w:val="-5"/>
              <w:sz w:val="20"/>
              <w:szCs w:val="20"/>
            </w:rPr>
          </w:pPr>
          <w:r>
            <w:rPr>
              <w:sz w:val="20"/>
              <w:szCs w:val="20"/>
            </w:rPr>
            <w:t>7</w:t>
          </w:r>
        </w:p>
      </w:tc>
      <w:tc>
        <w:tcPr>
          <w:tcW w:w="1055" w:type="dxa"/>
          <w:tcBorders>
            <w:top w:val="single" w:sz="4" w:space="0" w:color="000000"/>
            <w:left w:val="single" w:sz="4" w:space="0" w:color="000000"/>
            <w:bottom w:val="single" w:sz="4" w:space="0" w:color="000000"/>
            <w:right w:val="single" w:sz="4" w:space="0" w:color="000000"/>
          </w:tcBorders>
        </w:tcPr>
        <w:p w14:paraId="371E2365" w14:textId="77777777" w:rsidR="009432D6" w:rsidRPr="006D7E03" w:rsidRDefault="009432D6" w:rsidP="009432D6">
          <w:pPr>
            <w:snapToGrid w:val="0"/>
            <w:jc w:val="center"/>
            <w:rPr>
              <w:position w:val="-5"/>
              <w:sz w:val="20"/>
              <w:szCs w:val="20"/>
            </w:rPr>
          </w:pPr>
          <w:r>
            <w:rPr>
              <w:sz w:val="20"/>
              <w:szCs w:val="20"/>
            </w:rPr>
            <w:t>8</w:t>
          </w:r>
        </w:p>
      </w:tc>
    </w:tr>
    <w:tr w:rsidR="009432D6" w:rsidRPr="006D7E03" w14:paraId="393DF078" w14:textId="77777777" w:rsidTr="00803F0E">
      <w:trPr>
        <w:trHeight w:hRule="exact" w:val="227"/>
        <w:jc w:val="center"/>
      </w:trPr>
      <w:tc>
        <w:tcPr>
          <w:tcW w:w="1054" w:type="dxa"/>
          <w:tcBorders>
            <w:top w:val="single" w:sz="4" w:space="0" w:color="000000"/>
            <w:left w:val="single" w:sz="4" w:space="0" w:color="000000"/>
            <w:bottom w:val="single" w:sz="4" w:space="0" w:color="000000"/>
          </w:tcBorders>
        </w:tcPr>
        <w:p w14:paraId="3CC47624" w14:textId="77777777" w:rsidR="009432D6" w:rsidRPr="006D7E03" w:rsidRDefault="009432D6" w:rsidP="009432D6">
          <w:pPr>
            <w:snapToGrid w:val="0"/>
            <w:jc w:val="center"/>
            <w:rPr>
              <w:sz w:val="20"/>
              <w:szCs w:val="20"/>
            </w:rPr>
          </w:pPr>
          <w:r>
            <w:rPr>
              <w:sz w:val="20"/>
              <w:szCs w:val="20"/>
            </w:rPr>
            <w:t>DATE</w:t>
          </w:r>
        </w:p>
      </w:tc>
      <w:tc>
        <w:tcPr>
          <w:tcW w:w="1055" w:type="dxa"/>
          <w:tcBorders>
            <w:top w:val="single" w:sz="4" w:space="0" w:color="000000"/>
            <w:left w:val="single" w:sz="4" w:space="0" w:color="000000"/>
            <w:bottom w:val="single" w:sz="4" w:space="0" w:color="000000"/>
          </w:tcBorders>
        </w:tcPr>
        <w:p w14:paraId="57F52861"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731B0141" w14:textId="77777777" w:rsidR="009432D6" w:rsidRPr="006D7E03" w:rsidRDefault="006337E0" w:rsidP="009432D6">
          <w:pPr>
            <w:snapToGrid w:val="0"/>
            <w:jc w:val="center"/>
            <w:rPr>
              <w:sz w:val="20"/>
              <w:szCs w:val="20"/>
            </w:rPr>
          </w:pPr>
          <w:r>
            <w:rPr>
              <w:sz w:val="20"/>
              <w:szCs w:val="20"/>
            </w:rPr>
            <w:t>10/2021</w:t>
          </w:r>
        </w:p>
      </w:tc>
      <w:tc>
        <w:tcPr>
          <w:tcW w:w="1055" w:type="dxa"/>
          <w:tcBorders>
            <w:top w:val="single" w:sz="4" w:space="0" w:color="000000"/>
            <w:left w:val="single" w:sz="4" w:space="0" w:color="000000"/>
            <w:bottom w:val="single" w:sz="4" w:space="0" w:color="000000"/>
          </w:tcBorders>
        </w:tcPr>
        <w:p w14:paraId="6E0C09A8" w14:textId="77777777" w:rsidR="009432D6" w:rsidRPr="006D7E03" w:rsidRDefault="009432D6" w:rsidP="009432D6">
          <w:pPr>
            <w:snapToGrid w:val="0"/>
            <w:jc w:val="center"/>
            <w:rPr>
              <w:sz w:val="20"/>
              <w:szCs w:val="20"/>
            </w:rPr>
          </w:pPr>
          <w:r>
            <w:rPr>
              <w:sz w:val="20"/>
              <w:szCs w:val="20"/>
            </w:rPr>
            <w:t>10/2021</w:t>
          </w:r>
        </w:p>
      </w:tc>
      <w:tc>
        <w:tcPr>
          <w:tcW w:w="1054" w:type="dxa"/>
          <w:tcBorders>
            <w:top w:val="single" w:sz="4" w:space="0" w:color="000000"/>
            <w:left w:val="single" w:sz="4" w:space="0" w:color="000000"/>
            <w:bottom w:val="single" w:sz="4" w:space="0" w:color="000000"/>
          </w:tcBorders>
        </w:tcPr>
        <w:p w14:paraId="5EDB535D" w14:textId="1D6D43A2" w:rsidR="009432D6" w:rsidRPr="006D7E03" w:rsidRDefault="00FE2572" w:rsidP="009432D6">
          <w:pPr>
            <w:snapToGrid w:val="0"/>
            <w:jc w:val="center"/>
            <w:rPr>
              <w:sz w:val="20"/>
              <w:szCs w:val="20"/>
            </w:rPr>
          </w:pPr>
          <w:r>
            <w:rPr>
              <w:sz w:val="20"/>
              <w:szCs w:val="20"/>
            </w:rPr>
            <w:t>05/2022</w:t>
          </w:r>
        </w:p>
      </w:tc>
      <w:tc>
        <w:tcPr>
          <w:tcW w:w="1055" w:type="dxa"/>
          <w:tcBorders>
            <w:top w:val="single" w:sz="4" w:space="0" w:color="000000"/>
            <w:left w:val="single" w:sz="4" w:space="0" w:color="000000"/>
            <w:bottom w:val="single" w:sz="4" w:space="0" w:color="000000"/>
          </w:tcBorders>
        </w:tcPr>
        <w:p w14:paraId="1F19EED4" w14:textId="6D465A6F" w:rsidR="009432D6" w:rsidRPr="006D7E03" w:rsidRDefault="00FE2572" w:rsidP="009432D6">
          <w:pPr>
            <w:snapToGrid w:val="0"/>
            <w:jc w:val="center"/>
            <w:rPr>
              <w:sz w:val="20"/>
              <w:szCs w:val="20"/>
            </w:rPr>
          </w:pPr>
          <w:r>
            <w:rPr>
              <w:sz w:val="20"/>
              <w:szCs w:val="20"/>
            </w:rPr>
            <w:t>10/2022</w:t>
          </w:r>
        </w:p>
      </w:tc>
      <w:tc>
        <w:tcPr>
          <w:tcW w:w="1055" w:type="dxa"/>
          <w:tcBorders>
            <w:top w:val="single" w:sz="4" w:space="0" w:color="000000"/>
            <w:left w:val="single" w:sz="4" w:space="0" w:color="000000"/>
            <w:bottom w:val="single" w:sz="4" w:space="0" w:color="000000"/>
          </w:tcBorders>
        </w:tcPr>
        <w:p w14:paraId="40EBFEE7"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389EAD20" w14:textId="7A3D1292"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right w:val="single" w:sz="4" w:space="0" w:color="000000"/>
          </w:tcBorders>
        </w:tcPr>
        <w:p w14:paraId="3A6469DC" w14:textId="77777777" w:rsidR="009432D6" w:rsidRPr="006D7E03" w:rsidRDefault="009432D6" w:rsidP="009432D6">
          <w:pPr>
            <w:snapToGrid w:val="0"/>
            <w:jc w:val="center"/>
            <w:rPr>
              <w:sz w:val="20"/>
              <w:szCs w:val="20"/>
            </w:rPr>
          </w:pPr>
        </w:p>
      </w:tc>
    </w:tr>
    <w:tr w:rsidR="009432D6" w:rsidRPr="006D7E03" w14:paraId="3437654D" w14:textId="77777777" w:rsidTr="00803F0E">
      <w:trPr>
        <w:trHeight w:hRule="exact" w:val="227"/>
        <w:jc w:val="center"/>
      </w:trPr>
      <w:tc>
        <w:tcPr>
          <w:tcW w:w="1054" w:type="dxa"/>
          <w:tcBorders>
            <w:top w:val="single" w:sz="4" w:space="0" w:color="000000"/>
            <w:left w:val="single" w:sz="4" w:space="0" w:color="000000"/>
            <w:bottom w:val="single" w:sz="4" w:space="0" w:color="000000"/>
          </w:tcBorders>
        </w:tcPr>
        <w:p w14:paraId="183EF361"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420B842A"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4EDA1460"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1F4C8DE7" w14:textId="77777777" w:rsidR="009432D6" w:rsidRPr="006D7E03" w:rsidRDefault="009432D6" w:rsidP="009432D6">
          <w:pPr>
            <w:snapToGrid w:val="0"/>
            <w:jc w:val="center"/>
            <w:rPr>
              <w:sz w:val="20"/>
              <w:szCs w:val="20"/>
            </w:rPr>
          </w:pPr>
        </w:p>
      </w:tc>
      <w:tc>
        <w:tcPr>
          <w:tcW w:w="1054" w:type="dxa"/>
          <w:tcBorders>
            <w:top w:val="single" w:sz="4" w:space="0" w:color="000000"/>
            <w:left w:val="single" w:sz="4" w:space="0" w:color="000000"/>
            <w:bottom w:val="single" w:sz="4" w:space="0" w:color="000000"/>
          </w:tcBorders>
        </w:tcPr>
        <w:p w14:paraId="56ECA764"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4FDE8450" w14:textId="67CC6CAB" w:rsidR="009432D6" w:rsidRPr="006D7E03" w:rsidRDefault="00F31F82" w:rsidP="009432D6">
          <w:pPr>
            <w:snapToGrid w:val="0"/>
            <w:jc w:val="center"/>
            <w:rPr>
              <w:sz w:val="20"/>
              <w:szCs w:val="20"/>
            </w:rPr>
          </w:pPr>
          <w:r>
            <w:rPr>
              <w:sz w:val="20"/>
              <w:szCs w:val="20"/>
            </w:rPr>
            <w:t>10/2023</w:t>
          </w:r>
        </w:p>
      </w:tc>
      <w:tc>
        <w:tcPr>
          <w:tcW w:w="1055" w:type="dxa"/>
          <w:tcBorders>
            <w:top w:val="single" w:sz="4" w:space="0" w:color="000000"/>
            <w:left w:val="single" w:sz="4" w:space="0" w:color="000000"/>
            <w:bottom w:val="single" w:sz="4" w:space="0" w:color="000000"/>
          </w:tcBorders>
        </w:tcPr>
        <w:p w14:paraId="2686DADD" w14:textId="175DE708" w:rsidR="009432D6" w:rsidRPr="006D7E03" w:rsidRDefault="00266C30" w:rsidP="00994881">
          <w:pPr>
            <w:snapToGrid w:val="0"/>
            <w:rPr>
              <w:sz w:val="20"/>
              <w:szCs w:val="20"/>
            </w:rPr>
          </w:pPr>
          <w:r>
            <w:rPr>
              <w:sz w:val="20"/>
              <w:szCs w:val="20"/>
            </w:rPr>
            <w:t>04/2024</w:t>
          </w:r>
        </w:p>
      </w:tc>
      <w:tc>
        <w:tcPr>
          <w:tcW w:w="1055" w:type="dxa"/>
          <w:tcBorders>
            <w:top w:val="single" w:sz="4" w:space="0" w:color="000000"/>
            <w:left w:val="single" w:sz="4" w:space="0" w:color="000000"/>
            <w:bottom w:val="single" w:sz="4" w:space="0" w:color="000000"/>
          </w:tcBorders>
        </w:tcPr>
        <w:p w14:paraId="1E87160C" w14:textId="3201E547" w:rsidR="009432D6" w:rsidRPr="006D7E03" w:rsidRDefault="00266C30" w:rsidP="009432D6">
          <w:pPr>
            <w:snapToGrid w:val="0"/>
            <w:jc w:val="center"/>
            <w:rPr>
              <w:sz w:val="20"/>
              <w:szCs w:val="20"/>
            </w:rPr>
          </w:pPr>
          <w:r>
            <w:rPr>
              <w:sz w:val="20"/>
              <w:szCs w:val="20"/>
            </w:rPr>
            <w:t>10/2024</w:t>
          </w:r>
        </w:p>
      </w:tc>
      <w:tc>
        <w:tcPr>
          <w:tcW w:w="1055" w:type="dxa"/>
          <w:tcBorders>
            <w:top w:val="single" w:sz="4" w:space="0" w:color="000000"/>
            <w:left w:val="single" w:sz="4" w:space="0" w:color="000000"/>
            <w:bottom w:val="single" w:sz="4" w:space="0" w:color="000000"/>
            <w:right w:val="single" w:sz="4" w:space="0" w:color="000000"/>
          </w:tcBorders>
        </w:tcPr>
        <w:p w14:paraId="3F6581F5" w14:textId="77777777" w:rsidR="009432D6" w:rsidRPr="006D7E03" w:rsidRDefault="009432D6" w:rsidP="009432D6">
          <w:pPr>
            <w:snapToGrid w:val="0"/>
            <w:jc w:val="center"/>
            <w:rPr>
              <w:sz w:val="20"/>
              <w:szCs w:val="20"/>
            </w:rPr>
          </w:pPr>
        </w:p>
      </w:tc>
    </w:tr>
    <w:tr w:rsidR="009432D6" w:rsidRPr="006D7E03" w14:paraId="0489EBFC" w14:textId="77777777" w:rsidTr="00803F0E">
      <w:trPr>
        <w:trHeight w:hRule="exact" w:val="227"/>
        <w:jc w:val="center"/>
      </w:trPr>
      <w:tc>
        <w:tcPr>
          <w:tcW w:w="1054" w:type="dxa"/>
          <w:tcBorders>
            <w:top w:val="single" w:sz="4" w:space="0" w:color="000000"/>
            <w:left w:val="single" w:sz="4" w:space="0" w:color="000000"/>
            <w:bottom w:val="single" w:sz="4" w:space="0" w:color="000000"/>
          </w:tcBorders>
        </w:tcPr>
        <w:p w14:paraId="4C3617E2"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523F1BEE"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5A1F69B4"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0226FBFB" w14:textId="77777777" w:rsidR="009432D6" w:rsidRPr="006D7E03" w:rsidRDefault="009432D6" w:rsidP="009432D6">
          <w:pPr>
            <w:snapToGrid w:val="0"/>
            <w:jc w:val="center"/>
            <w:rPr>
              <w:sz w:val="20"/>
              <w:szCs w:val="20"/>
            </w:rPr>
          </w:pPr>
        </w:p>
      </w:tc>
      <w:tc>
        <w:tcPr>
          <w:tcW w:w="1054" w:type="dxa"/>
          <w:tcBorders>
            <w:top w:val="single" w:sz="4" w:space="0" w:color="000000"/>
            <w:left w:val="single" w:sz="4" w:space="0" w:color="000000"/>
            <w:bottom w:val="single" w:sz="4" w:space="0" w:color="000000"/>
          </w:tcBorders>
        </w:tcPr>
        <w:p w14:paraId="2C9D7AA4"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3076B0BC"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5466EDE5"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0BC13C9E"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right w:val="single" w:sz="4" w:space="0" w:color="000000"/>
          </w:tcBorders>
        </w:tcPr>
        <w:p w14:paraId="0F3F2562" w14:textId="77777777" w:rsidR="009432D6" w:rsidRPr="006D7E03" w:rsidRDefault="009432D6" w:rsidP="009432D6">
          <w:pPr>
            <w:snapToGrid w:val="0"/>
            <w:jc w:val="center"/>
            <w:rPr>
              <w:sz w:val="20"/>
              <w:szCs w:val="20"/>
            </w:rPr>
          </w:pPr>
        </w:p>
      </w:tc>
    </w:tr>
    <w:tr w:rsidR="009432D6" w:rsidRPr="006D7E03" w14:paraId="35C3892F" w14:textId="77777777" w:rsidTr="00803F0E">
      <w:trPr>
        <w:trHeight w:hRule="exact" w:val="227"/>
        <w:jc w:val="center"/>
      </w:trPr>
      <w:tc>
        <w:tcPr>
          <w:tcW w:w="1054" w:type="dxa"/>
          <w:tcBorders>
            <w:top w:val="single" w:sz="4" w:space="0" w:color="000000"/>
            <w:left w:val="single" w:sz="4" w:space="0" w:color="000000"/>
            <w:bottom w:val="single" w:sz="4" w:space="0" w:color="000000"/>
          </w:tcBorders>
        </w:tcPr>
        <w:p w14:paraId="3A2ECBAF"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3048C7B3"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7321F0AC"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781ADDBC" w14:textId="77777777" w:rsidR="009432D6" w:rsidRPr="006D7E03" w:rsidRDefault="009432D6" w:rsidP="009432D6">
          <w:pPr>
            <w:snapToGrid w:val="0"/>
            <w:jc w:val="center"/>
            <w:rPr>
              <w:sz w:val="20"/>
              <w:szCs w:val="20"/>
            </w:rPr>
          </w:pPr>
        </w:p>
      </w:tc>
      <w:tc>
        <w:tcPr>
          <w:tcW w:w="1054" w:type="dxa"/>
          <w:tcBorders>
            <w:top w:val="single" w:sz="4" w:space="0" w:color="000000"/>
            <w:left w:val="single" w:sz="4" w:space="0" w:color="000000"/>
            <w:bottom w:val="single" w:sz="4" w:space="0" w:color="000000"/>
          </w:tcBorders>
        </w:tcPr>
        <w:p w14:paraId="39B95AD3"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16DE2F4A"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64C8ED2B"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tcBorders>
        </w:tcPr>
        <w:p w14:paraId="0B3F68CF" w14:textId="77777777" w:rsidR="009432D6" w:rsidRPr="006D7E03" w:rsidRDefault="009432D6" w:rsidP="009432D6">
          <w:pPr>
            <w:snapToGrid w:val="0"/>
            <w:jc w:val="center"/>
            <w:rPr>
              <w:sz w:val="20"/>
              <w:szCs w:val="20"/>
            </w:rPr>
          </w:pPr>
        </w:p>
      </w:tc>
      <w:tc>
        <w:tcPr>
          <w:tcW w:w="1055" w:type="dxa"/>
          <w:tcBorders>
            <w:top w:val="single" w:sz="4" w:space="0" w:color="000000"/>
            <w:left w:val="single" w:sz="4" w:space="0" w:color="000000"/>
            <w:bottom w:val="single" w:sz="4" w:space="0" w:color="000000"/>
            <w:right w:val="single" w:sz="4" w:space="0" w:color="000000"/>
          </w:tcBorders>
        </w:tcPr>
        <w:p w14:paraId="1AA48D0A" w14:textId="77777777" w:rsidR="009432D6" w:rsidRPr="006D7E03" w:rsidRDefault="009432D6" w:rsidP="009432D6">
          <w:pPr>
            <w:snapToGrid w:val="0"/>
            <w:jc w:val="center"/>
            <w:rPr>
              <w:sz w:val="20"/>
              <w:szCs w:val="20"/>
            </w:rPr>
          </w:pPr>
        </w:p>
      </w:tc>
    </w:tr>
  </w:tbl>
  <w:p w14:paraId="29728DAB" w14:textId="77777777" w:rsidR="009432D6" w:rsidRDefault="009432D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7EE031C"/>
    <w:lvl w:ilvl="0">
      <w:numFmt w:val="bullet"/>
      <w:lvlText w:val="*"/>
      <w:lvlJc w:val="left"/>
    </w:lvl>
  </w:abstractNum>
  <w:abstractNum w:abstractNumId="1" w15:restartNumberingAfterBreak="0">
    <w:nsid w:val="0A29749E"/>
    <w:multiLevelType w:val="hybridMultilevel"/>
    <w:tmpl w:val="C59ED6F0"/>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C510E0C"/>
    <w:multiLevelType w:val="hybridMultilevel"/>
    <w:tmpl w:val="C6AAFCE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4226078"/>
    <w:multiLevelType w:val="hybridMultilevel"/>
    <w:tmpl w:val="33A0E2D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4E6079D"/>
    <w:multiLevelType w:val="hybridMultilevel"/>
    <w:tmpl w:val="68A284DE"/>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8F16A75"/>
    <w:multiLevelType w:val="hybridMultilevel"/>
    <w:tmpl w:val="B75CC54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C1977D1"/>
    <w:multiLevelType w:val="hybridMultilevel"/>
    <w:tmpl w:val="37B465F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3F7162D"/>
    <w:multiLevelType w:val="hybridMultilevel"/>
    <w:tmpl w:val="5672C43A"/>
    <w:lvl w:ilvl="0" w:tplc="6580537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1571603">
    <w:abstractNumId w:val="0"/>
    <w:lvlOverride w:ilvl="0">
      <w:lvl w:ilvl="0">
        <w:numFmt w:val="bullet"/>
        <w:lvlText w:val="-"/>
        <w:legacy w:legacy="1" w:legacySpace="0" w:legacyIndent="0"/>
        <w:lvlJc w:val="left"/>
        <w:rPr>
          <w:rFonts w:ascii="Lora" w:hAnsi="Lora" w:hint="default"/>
          <w:sz w:val="40"/>
        </w:rPr>
      </w:lvl>
    </w:lvlOverride>
  </w:num>
  <w:num w:numId="2" w16cid:durableId="703598798">
    <w:abstractNumId w:val="5"/>
  </w:num>
  <w:num w:numId="3" w16cid:durableId="1257863704">
    <w:abstractNumId w:val="2"/>
  </w:num>
  <w:num w:numId="4" w16cid:durableId="331952695">
    <w:abstractNumId w:val="6"/>
  </w:num>
  <w:num w:numId="5" w16cid:durableId="1546940464">
    <w:abstractNumId w:val="7"/>
  </w:num>
  <w:num w:numId="6" w16cid:durableId="621225956">
    <w:abstractNumId w:val="1"/>
  </w:num>
  <w:num w:numId="7" w16cid:durableId="1177427670">
    <w:abstractNumId w:val="3"/>
  </w:num>
  <w:num w:numId="8" w16cid:durableId="2862815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97"/>
    <w:rsid w:val="00007178"/>
    <w:rsid w:val="00014734"/>
    <w:rsid w:val="00037DF9"/>
    <w:rsid w:val="000766E7"/>
    <w:rsid w:val="00084944"/>
    <w:rsid w:val="000B0954"/>
    <w:rsid w:val="000D18CC"/>
    <w:rsid w:val="0010001A"/>
    <w:rsid w:val="00116C00"/>
    <w:rsid w:val="00151522"/>
    <w:rsid w:val="0016233D"/>
    <w:rsid w:val="0017289C"/>
    <w:rsid w:val="001C0220"/>
    <w:rsid w:val="001F6173"/>
    <w:rsid w:val="00231E91"/>
    <w:rsid w:val="00236B45"/>
    <w:rsid w:val="0024422B"/>
    <w:rsid w:val="0026502D"/>
    <w:rsid w:val="00266C30"/>
    <w:rsid w:val="002A0C50"/>
    <w:rsid w:val="002B7BA4"/>
    <w:rsid w:val="002C5FDE"/>
    <w:rsid w:val="002C676E"/>
    <w:rsid w:val="002D1CBB"/>
    <w:rsid w:val="002D6041"/>
    <w:rsid w:val="002F6888"/>
    <w:rsid w:val="003439F9"/>
    <w:rsid w:val="00346BF0"/>
    <w:rsid w:val="00354741"/>
    <w:rsid w:val="0035773F"/>
    <w:rsid w:val="0036106A"/>
    <w:rsid w:val="00376175"/>
    <w:rsid w:val="003C18C7"/>
    <w:rsid w:val="003F09B2"/>
    <w:rsid w:val="00452074"/>
    <w:rsid w:val="00452791"/>
    <w:rsid w:val="00465F35"/>
    <w:rsid w:val="004745D2"/>
    <w:rsid w:val="00476185"/>
    <w:rsid w:val="00481BAF"/>
    <w:rsid w:val="004F5771"/>
    <w:rsid w:val="004F68CE"/>
    <w:rsid w:val="005267FD"/>
    <w:rsid w:val="00530563"/>
    <w:rsid w:val="00574E49"/>
    <w:rsid w:val="005756A3"/>
    <w:rsid w:val="005929C9"/>
    <w:rsid w:val="00596BE3"/>
    <w:rsid w:val="005A7C3F"/>
    <w:rsid w:val="005B6E32"/>
    <w:rsid w:val="005D3D21"/>
    <w:rsid w:val="005F02F9"/>
    <w:rsid w:val="00606D01"/>
    <w:rsid w:val="006337E0"/>
    <w:rsid w:val="0067127C"/>
    <w:rsid w:val="00676EB2"/>
    <w:rsid w:val="00683EA8"/>
    <w:rsid w:val="006A6FD5"/>
    <w:rsid w:val="006B7545"/>
    <w:rsid w:val="006C5D80"/>
    <w:rsid w:val="0070201B"/>
    <w:rsid w:val="00755098"/>
    <w:rsid w:val="00756E7E"/>
    <w:rsid w:val="0076202D"/>
    <w:rsid w:val="007810B5"/>
    <w:rsid w:val="007D7121"/>
    <w:rsid w:val="007F14E8"/>
    <w:rsid w:val="00811F5F"/>
    <w:rsid w:val="008265C3"/>
    <w:rsid w:val="00833148"/>
    <w:rsid w:val="008356B9"/>
    <w:rsid w:val="00871D7A"/>
    <w:rsid w:val="0087363B"/>
    <w:rsid w:val="00882B49"/>
    <w:rsid w:val="008C2ABF"/>
    <w:rsid w:val="008F075E"/>
    <w:rsid w:val="009432D6"/>
    <w:rsid w:val="009550E0"/>
    <w:rsid w:val="00966A47"/>
    <w:rsid w:val="00982F6E"/>
    <w:rsid w:val="00984024"/>
    <w:rsid w:val="00986D72"/>
    <w:rsid w:val="00987362"/>
    <w:rsid w:val="00994881"/>
    <w:rsid w:val="009976F1"/>
    <w:rsid w:val="009C204D"/>
    <w:rsid w:val="009D78A3"/>
    <w:rsid w:val="009F6EC7"/>
    <w:rsid w:val="00A019CB"/>
    <w:rsid w:val="00A021CE"/>
    <w:rsid w:val="00A070E9"/>
    <w:rsid w:val="00A15E92"/>
    <w:rsid w:val="00A37D55"/>
    <w:rsid w:val="00A4103B"/>
    <w:rsid w:val="00A4277F"/>
    <w:rsid w:val="00A44559"/>
    <w:rsid w:val="00A543CC"/>
    <w:rsid w:val="00A6462B"/>
    <w:rsid w:val="00A764BD"/>
    <w:rsid w:val="00AA055B"/>
    <w:rsid w:val="00AC46BD"/>
    <w:rsid w:val="00AF3AF4"/>
    <w:rsid w:val="00AF6650"/>
    <w:rsid w:val="00AF7461"/>
    <w:rsid w:val="00B06A79"/>
    <w:rsid w:val="00B0763C"/>
    <w:rsid w:val="00B10D63"/>
    <w:rsid w:val="00B23494"/>
    <w:rsid w:val="00B32393"/>
    <w:rsid w:val="00B32F32"/>
    <w:rsid w:val="00B51C40"/>
    <w:rsid w:val="00B54D63"/>
    <w:rsid w:val="00B90055"/>
    <w:rsid w:val="00BB286E"/>
    <w:rsid w:val="00BB2B45"/>
    <w:rsid w:val="00BD0981"/>
    <w:rsid w:val="00BE1CB6"/>
    <w:rsid w:val="00C05EDB"/>
    <w:rsid w:val="00C0675F"/>
    <w:rsid w:val="00C37912"/>
    <w:rsid w:val="00C42F38"/>
    <w:rsid w:val="00C4640A"/>
    <w:rsid w:val="00C55EB2"/>
    <w:rsid w:val="00C65972"/>
    <w:rsid w:val="00CA7581"/>
    <w:rsid w:val="00CD11E9"/>
    <w:rsid w:val="00CF7F01"/>
    <w:rsid w:val="00D05AC5"/>
    <w:rsid w:val="00D1509F"/>
    <w:rsid w:val="00D16739"/>
    <w:rsid w:val="00D23C58"/>
    <w:rsid w:val="00D31B4B"/>
    <w:rsid w:val="00D35238"/>
    <w:rsid w:val="00D358D1"/>
    <w:rsid w:val="00D37D5E"/>
    <w:rsid w:val="00D46E58"/>
    <w:rsid w:val="00DB29ED"/>
    <w:rsid w:val="00DC1EF6"/>
    <w:rsid w:val="00DC23EC"/>
    <w:rsid w:val="00DC5453"/>
    <w:rsid w:val="00DE0A4B"/>
    <w:rsid w:val="00DE4645"/>
    <w:rsid w:val="00E60B97"/>
    <w:rsid w:val="00E61929"/>
    <w:rsid w:val="00E71824"/>
    <w:rsid w:val="00E77300"/>
    <w:rsid w:val="00E946C5"/>
    <w:rsid w:val="00E961F6"/>
    <w:rsid w:val="00EA1B47"/>
    <w:rsid w:val="00EA2A1B"/>
    <w:rsid w:val="00EA5DA8"/>
    <w:rsid w:val="00EC2623"/>
    <w:rsid w:val="00EC2B42"/>
    <w:rsid w:val="00EF09C5"/>
    <w:rsid w:val="00EF20C1"/>
    <w:rsid w:val="00F05E7F"/>
    <w:rsid w:val="00F1105B"/>
    <w:rsid w:val="00F12576"/>
    <w:rsid w:val="00F13DDB"/>
    <w:rsid w:val="00F27D1C"/>
    <w:rsid w:val="00F304E9"/>
    <w:rsid w:val="00F31F82"/>
    <w:rsid w:val="00F8700D"/>
    <w:rsid w:val="00FB2EEF"/>
    <w:rsid w:val="00FE2572"/>
    <w:rsid w:val="00FE3A39"/>
    <w:rsid w:val="00FF56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5D2FE8"/>
  <w15:chartTrackingRefBased/>
  <w15:docId w15:val="{AE51DE1E-37AE-4853-AD39-E537A3D7D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aliases w:val="Title 2 Level 1 (1.)"/>
    <w:basedOn w:val="Normal"/>
    <w:next w:val="Normal"/>
    <w:link w:val="Titre2Car"/>
    <w:uiPriority w:val="9"/>
    <w:unhideWhenUsed/>
    <w:qFormat/>
    <w:rsid w:val="00236B45"/>
    <w:pPr>
      <w:keepNext/>
      <w:keepLines/>
      <w:spacing w:before="40" w:after="0" w:line="240" w:lineRule="auto"/>
      <w:jc w:val="both"/>
      <w:outlineLvl w:val="1"/>
    </w:pPr>
    <w:rPr>
      <w:rFonts w:ascii="Lora" w:eastAsiaTheme="majorEastAsia" w:hAnsi="Lora" w:cstheme="majorBidi"/>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itle 2 Level 1 (1.) Car"/>
    <w:basedOn w:val="Policepardfaut"/>
    <w:link w:val="Titre2"/>
    <w:uiPriority w:val="9"/>
    <w:rsid w:val="00236B45"/>
    <w:rPr>
      <w:rFonts w:ascii="Lora" w:eastAsiaTheme="majorEastAsia" w:hAnsi="Lora" w:cstheme="majorBidi"/>
      <w:szCs w:val="26"/>
    </w:rPr>
  </w:style>
  <w:style w:type="character" w:styleId="lev">
    <w:name w:val="Strong"/>
    <w:basedOn w:val="Policepardfaut"/>
    <w:uiPriority w:val="22"/>
    <w:qFormat/>
    <w:rsid w:val="00B54D63"/>
    <w:rPr>
      <w:b/>
      <w:bCs/>
    </w:rPr>
  </w:style>
  <w:style w:type="paragraph" w:styleId="Paragraphedeliste">
    <w:name w:val="List Paragraph"/>
    <w:basedOn w:val="Normal"/>
    <w:uiPriority w:val="34"/>
    <w:qFormat/>
    <w:rsid w:val="00AA055B"/>
    <w:pPr>
      <w:ind w:left="720"/>
      <w:contextualSpacing/>
    </w:pPr>
  </w:style>
  <w:style w:type="paragraph" w:styleId="Notedebasdepage">
    <w:name w:val="footnote text"/>
    <w:basedOn w:val="Normal"/>
    <w:link w:val="NotedebasdepageCar"/>
    <w:uiPriority w:val="99"/>
    <w:semiHidden/>
    <w:unhideWhenUsed/>
    <w:rsid w:val="005F02F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F02F9"/>
    <w:rPr>
      <w:sz w:val="20"/>
      <w:szCs w:val="20"/>
    </w:rPr>
  </w:style>
  <w:style w:type="character" w:styleId="Appelnotedebasdep">
    <w:name w:val="footnote reference"/>
    <w:basedOn w:val="Policepardfaut"/>
    <w:uiPriority w:val="99"/>
    <w:semiHidden/>
    <w:unhideWhenUsed/>
    <w:rsid w:val="005F02F9"/>
    <w:rPr>
      <w:vertAlign w:val="superscript"/>
    </w:rPr>
  </w:style>
  <w:style w:type="paragraph" w:styleId="Rvision">
    <w:name w:val="Revision"/>
    <w:hidden/>
    <w:uiPriority w:val="99"/>
    <w:semiHidden/>
    <w:rsid w:val="006B7545"/>
    <w:pPr>
      <w:spacing w:after="0" w:line="240" w:lineRule="auto"/>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sid w:val="006B7545"/>
    <w:rPr>
      <w:sz w:val="20"/>
      <w:szCs w:val="20"/>
    </w:rPr>
  </w:style>
  <w:style w:type="paragraph" w:styleId="Objetducommentaire">
    <w:name w:val="annotation subject"/>
    <w:basedOn w:val="Commentaire"/>
    <w:next w:val="Commentaire"/>
    <w:link w:val="ObjetducommentaireCar"/>
    <w:uiPriority w:val="99"/>
    <w:semiHidden/>
    <w:unhideWhenUsed/>
    <w:rsid w:val="006B7545"/>
    <w:rPr>
      <w:b/>
      <w:bCs/>
    </w:rPr>
  </w:style>
  <w:style w:type="character" w:customStyle="1" w:styleId="ObjetducommentaireCar">
    <w:name w:val="Objet du commentaire Car"/>
    <w:basedOn w:val="CommentaireCar"/>
    <w:link w:val="Objetducommentaire"/>
    <w:uiPriority w:val="99"/>
    <w:semiHidden/>
    <w:rsid w:val="006B7545"/>
    <w:rPr>
      <w:b/>
      <w:bCs/>
      <w:sz w:val="20"/>
      <w:szCs w:val="20"/>
    </w:rPr>
  </w:style>
  <w:style w:type="character" w:customStyle="1" w:styleId="markedcontent">
    <w:name w:val="markedcontent"/>
    <w:basedOn w:val="Policepardfaut"/>
    <w:rsid w:val="0016233D"/>
  </w:style>
  <w:style w:type="paragraph" w:styleId="En-tte">
    <w:name w:val="header"/>
    <w:basedOn w:val="Normal"/>
    <w:link w:val="En-tteCar"/>
    <w:uiPriority w:val="99"/>
    <w:unhideWhenUsed/>
    <w:rsid w:val="00C4640A"/>
    <w:pPr>
      <w:tabs>
        <w:tab w:val="center" w:pos="4536"/>
        <w:tab w:val="right" w:pos="9072"/>
      </w:tabs>
      <w:spacing w:after="0" w:line="240" w:lineRule="auto"/>
    </w:pPr>
  </w:style>
  <w:style w:type="character" w:customStyle="1" w:styleId="En-tteCar">
    <w:name w:val="En-tête Car"/>
    <w:basedOn w:val="Policepardfaut"/>
    <w:link w:val="En-tte"/>
    <w:uiPriority w:val="99"/>
    <w:rsid w:val="00C4640A"/>
  </w:style>
  <w:style w:type="paragraph" w:styleId="Pieddepage">
    <w:name w:val="footer"/>
    <w:basedOn w:val="Normal"/>
    <w:link w:val="PieddepageCar"/>
    <w:uiPriority w:val="99"/>
    <w:unhideWhenUsed/>
    <w:rsid w:val="00C4640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4640A"/>
  </w:style>
  <w:style w:type="paragraph" w:customStyle="1" w:styleId="Default">
    <w:name w:val="Default"/>
    <w:rsid w:val="009432D6"/>
    <w:pPr>
      <w:autoSpaceDE w:val="0"/>
      <w:autoSpaceDN w:val="0"/>
      <w:adjustRightInd w:val="0"/>
      <w:spacing w:after="0" w:line="240" w:lineRule="auto"/>
    </w:pPr>
    <w:rPr>
      <w:rFonts w:ascii="Verdana" w:eastAsia="Calibri" w:hAnsi="Verdana" w:cs="Verdana"/>
      <w:color w:val="000000"/>
      <w:sz w:val="24"/>
      <w:szCs w:val="24"/>
    </w:rPr>
  </w:style>
  <w:style w:type="paragraph" w:styleId="Textedebulles">
    <w:name w:val="Balloon Text"/>
    <w:basedOn w:val="Normal"/>
    <w:link w:val="TextedebullesCar"/>
    <w:uiPriority w:val="99"/>
    <w:semiHidden/>
    <w:unhideWhenUsed/>
    <w:rsid w:val="009F6EC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F6EC7"/>
    <w:rPr>
      <w:rFonts w:ascii="Segoe UI" w:hAnsi="Segoe UI" w:cs="Segoe UI"/>
      <w:sz w:val="18"/>
      <w:szCs w:val="18"/>
    </w:rPr>
  </w:style>
  <w:style w:type="paragraph" w:styleId="Notedefin">
    <w:name w:val="endnote text"/>
    <w:basedOn w:val="Normal"/>
    <w:link w:val="NotedefinCar"/>
    <w:uiPriority w:val="99"/>
    <w:semiHidden/>
    <w:unhideWhenUsed/>
    <w:rsid w:val="001C0220"/>
    <w:pPr>
      <w:spacing w:after="0" w:line="240" w:lineRule="auto"/>
    </w:pPr>
    <w:rPr>
      <w:sz w:val="20"/>
      <w:szCs w:val="20"/>
    </w:rPr>
  </w:style>
  <w:style w:type="character" w:customStyle="1" w:styleId="NotedefinCar">
    <w:name w:val="Note de fin Car"/>
    <w:basedOn w:val="Policepardfaut"/>
    <w:link w:val="Notedefin"/>
    <w:uiPriority w:val="99"/>
    <w:semiHidden/>
    <w:rsid w:val="001C0220"/>
    <w:rPr>
      <w:sz w:val="20"/>
      <w:szCs w:val="20"/>
    </w:rPr>
  </w:style>
  <w:style w:type="character" w:styleId="Appeldenotedefin">
    <w:name w:val="endnote reference"/>
    <w:basedOn w:val="Policepardfaut"/>
    <w:uiPriority w:val="99"/>
    <w:semiHidden/>
    <w:unhideWhenUsed/>
    <w:rsid w:val="001C02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toryBodyName xmlns="4bb74870-d36b-4b1b-9cf5-6ae27179b6d3">52</StatutoryBodyName>
    <Duplicated xmlns="eaed0734-bccc-4bba-92a3-a85fef71bc30">false</Duplicated>
    <OIVCountry xmlns="4bb74870-d36b-4b1b-9cf5-6ae27179b6d3" xsi:nil="true"/>
    <Languages xmlns="4bb74870-d36b-4b1b-9cf5-6ae27179b6d3">9</Languages>
    <Year xmlns="4bb74870-d36b-4b1b-9cf5-6ae27179b6d3">2024</Year>
    <History xmlns="4bb74870-d36b-4b1b-9cf5-6ae27179b6d3" xsi:nil="true"/>
    <IdResolutionTask xmlns="4bb74870-d36b-4b1b-9cf5-6ae27179b6d3" xsi:nil="true"/>
    <ResolutionCode xmlns="4bb74870-d36b-4b1b-9cf5-6ae27179b6d3">OENO-SCMA 21-712A</ResolutionCode>
    <ProjectPresentationReference xmlns="4bb74870-d36b-4b1b-9cf5-6ae27179b6d3" xsi:nil="true"/>
    <DocumentType1 xmlns="4bb74870-d36b-4b1b-9cf5-6ae27179b6d3">393</DocumentType1>
    <Date1 xmlns="4bb74870-d36b-4b1b-9cf5-6ae27179b6d3">2024-07-03T15:23:33+00:00</Date1>
    <Step xmlns="4bb74870-d36b-4b1b-9cf5-6ae27179b6d3">7</Step>
    <Meeting xmlns="4bb74870-d36b-4b1b-9cf5-6ae27179b6d3">157</Meeting>
    <ResolutionDocParentRef xmlns="4bb74870-d36b-4b1b-9cf5-6ae27179b6d3" xsi:nil="true"/>
    <Reference xmlns="4bb74870-d36b-4b1b-9cf5-6ae27179b6d3">OENO-SCMA 21-712A Et7 2024</Refere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workSpaceDocuments" ma:contentTypeID="0x010100B75F8B82DC649C4C8F08FB2AC33C700300D9290A88D67F5649AE280DF0ACD174B6" ma:contentTypeVersion="26" ma:contentTypeDescription="" ma:contentTypeScope="" ma:versionID="6c0334beb906ba18ca9ad5308d0b49a1">
  <xsd:schema xmlns:xsd="http://www.w3.org/2001/XMLSchema" xmlns:xs="http://www.w3.org/2001/XMLSchema" xmlns:p="http://schemas.microsoft.com/office/2006/metadata/properties" xmlns:ns2="4bb74870-d36b-4b1b-9cf5-6ae27179b6d3" xmlns:ns3="eaed0734-bccc-4bba-92a3-a85fef71bc30" targetNamespace="http://schemas.microsoft.com/office/2006/metadata/properties" ma:root="true" ma:fieldsID="714adb55b2918ae5a959d868a02bdcfb" ns2:_="" ns3:_="">
    <xsd:import namespace="4bb74870-d36b-4b1b-9cf5-6ae27179b6d3"/>
    <xsd:import namespace="eaed0734-bccc-4bba-92a3-a85fef71bc30"/>
    <xsd:element name="properties">
      <xsd:complexType>
        <xsd:sequence>
          <xsd:element name="documentManagement">
            <xsd:complexType>
              <xsd:all>
                <xsd:element ref="ns2:Reference" minOccurs="0"/>
                <xsd:element ref="ns2:Step" minOccurs="0"/>
                <xsd:element ref="ns2:DocumentType1" minOccurs="0"/>
                <xsd:element ref="ns2:Date1" minOccurs="0"/>
                <xsd:element ref="ns2:Languages" minOccurs="0"/>
                <xsd:element ref="ns2:History" minOccurs="0"/>
                <xsd:element ref="ns2:StatutoryBodyName" minOccurs="0"/>
                <xsd:element ref="ns2:Meeting" minOccurs="0"/>
                <xsd:element ref="ns2:ResolutionCode" minOccurs="0"/>
                <xsd:element ref="ns2:Year" minOccurs="0"/>
                <xsd:element ref="ns2:OIVCountry" minOccurs="0"/>
                <xsd:element ref="ns2:ProjectPresentationReference" minOccurs="0"/>
                <xsd:element ref="ns2:ResolutionDocParentRef" minOccurs="0"/>
                <xsd:element ref="ns3:Duplicated" minOccurs="0"/>
                <xsd:element ref="ns2:IdResolutionTask"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74870-d36b-4b1b-9cf5-6ae27179b6d3" elementFormDefault="qualified">
    <xsd:import namespace="http://schemas.microsoft.com/office/2006/documentManagement/types"/>
    <xsd:import namespace="http://schemas.microsoft.com/office/infopath/2007/PartnerControls"/>
    <xsd:element name="Reference" ma:index="2" nillable="true" ma:displayName="Reference" ma:indexed="true" ma:internalName="Reference" ma:readOnly="false">
      <xsd:simpleType>
        <xsd:restriction base="dms:Text">
          <xsd:maxLength value="255"/>
        </xsd:restriction>
      </xsd:simpleType>
    </xsd:element>
    <xsd:element name="Step" ma:index="3" nillable="true" ma:displayName="Step" ma:internalName="Step" ma:readOnly="false" ma:percentage="FALSE">
      <xsd:simpleType>
        <xsd:restriction base="dms:Number"/>
      </xsd:simpleType>
    </xsd:element>
    <xsd:element name="DocumentType1" ma:index="4" nillable="true" ma:displayName="DocumentType" ma:default="390" ma:format="Dropdown" ma:internalName="DocumentType1" ma:readOnly="false">
      <xsd:simpleType>
        <xsd:restriction base="dms:Choice">
          <xsd:enumeration value="390"/>
          <xsd:enumeration value="391"/>
          <xsd:enumeration value="392"/>
          <xsd:enumeration value="393"/>
          <xsd:enumeration value="394"/>
          <xsd:enumeration value="395"/>
          <xsd:enumeration value="396"/>
          <xsd:enumeration value="397"/>
          <xsd:enumeration value="398"/>
          <xsd:enumeration value="399"/>
          <xsd:enumeration value="400"/>
        </xsd:restriction>
      </xsd:simpleType>
    </xsd:element>
    <xsd:element name="Date1" ma:index="5" nillable="true" ma:displayName="Date" ma:format="DateOnly" ma:indexed="true" ma:internalName="Date1" ma:readOnly="false">
      <xsd:simpleType>
        <xsd:restriction base="dms:DateTime"/>
      </xsd:simpleType>
    </xsd:element>
    <xsd:element name="Languages" ma:index="6" nillable="true" ma:displayName="Languages" ma:default="8" ma:format="Dropdown" ma:internalName="Languages" ma:readOnly="false">
      <xsd:simpleType>
        <xsd:restriction base="dms:Choice">
          <xsd:enumeration value="8"/>
          <xsd:enumeration value="9"/>
          <xsd:enumeration value="10"/>
          <xsd:enumeration value="11"/>
          <xsd:enumeration value="12"/>
          <xsd:enumeration value="13"/>
        </xsd:restriction>
      </xsd:simpleType>
    </xsd:element>
    <xsd:element name="History" ma:index="7" nillable="true" ma:displayName="History" ma:internalName="History" ma:readOnly="false">
      <xsd:simpleType>
        <xsd:restriction base="dms:Note">
          <xsd:maxLength value="255"/>
        </xsd:restriction>
      </xsd:simpleType>
    </xsd:element>
    <xsd:element name="StatutoryBodyName" ma:index="8" nillable="true" ma:displayName="Statutory Body Name" ma:indexed="true" ma:internalName="StatutoryBodyName" ma:readOnly="false">
      <xsd:simpleType>
        <xsd:restriction base="dms:Text">
          <xsd:maxLength value="255"/>
        </xsd:restriction>
      </xsd:simpleType>
    </xsd:element>
    <xsd:element name="Meeting" ma:index="9" nillable="true" ma:displayName="Meeting" ma:internalName="Meeting" ma:readOnly="false">
      <xsd:simpleType>
        <xsd:restriction base="dms:Text">
          <xsd:maxLength value="255"/>
        </xsd:restriction>
      </xsd:simpleType>
    </xsd:element>
    <xsd:element name="ResolutionCode" ma:index="10" nillable="true" ma:displayName="ResolutionCode" ma:indexed="true" ma:internalName="ResolutionCode" ma:readOnly="false">
      <xsd:simpleType>
        <xsd:restriction base="dms:Text">
          <xsd:maxLength value="255"/>
        </xsd:restriction>
      </xsd:simpleType>
    </xsd:element>
    <xsd:element name="Year" ma:index="11" nillable="true" ma:displayName="Year" ma:internalName="Year" ma:readOnly="false">
      <xsd:simpleType>
        <xsd:restriction base="dms:Text">
          <xsd:maxLength value="255"/>
        </xsd:restriction>
      </xsd:simpleType>
    </xsd:element>
    <xsd:element name="OIVCountry" ma:index="12" nillable="true" ma:displayName="Country" ma:indexed="true" ma:internalName="OIVCountry" ma:readOnly="false">
      <xsd:simpleType>
        <xsd:restriction base="dms:Text">
          <xsd:maxLength value="255"/>
        </xsd:restriction>
      </xsd:simpleType>
    </xsd:element>
    <xsd:element name="ProjectPresentationReference" ma:index="13" nillable="true" ma:displayName="ProjectPresentationReference" ma:internalName="ProjectPresentationReference" ma:readOnly="false">
      <xsd:simpleType>
        <xsd:restriction base="dms:Text">
          <xsd:maxLength value="255"/>
        </xsd:restriction>
      </xsd:simpleType>
    </xsd:element>
    <xsd:element name="ResolutionDocParentRef" ma:index="14" nillable="true" ma:displayName="ResolutionDocParentRef" ma:indexed="true" ma:internalName="ResolutionDocParentRef" ma:readOnly="false">
      <xsd:simpleType>
        <xsd:restriction base="dms:Text">
          <xsd:maxLength value="255"/>
        </xsd:restriction>
      </xsd:simpleType>
    </xsd:element>
    <xsd:element name="IdResolutionTask" ma:index="16" nillable="true" ma:displayName="IdResolutionTask" ma:indexed="true" ma:internalName="IdResolutionTask" ma:readOnly="false">
      <xsd:simpleType>
        <xsd:restriction base="dms:Text">
          <xsd:maxLength value="255"/>
        </xsd:restriction>
      </xsd:simpleType>
    </xsd:element>
    <xsd:element name="SharedWithUsers" ma:index="3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d0734-bccc-4bba-92a3-a85fef71bc30" elementFormDefault="qualified">
    <xsd:import namespace="http://schemas.microsoft.com/office/2006/documentManagement/types"/>
    <xsd:import namespace="http://schemas.microsoft.com/office/infopath/2007/PartnerControls"/>
    <xsd:element name="Duplicated" ma:index="15" nillable="true" ma:displayName="Duplicated" ma:default="0" ma:indexed="true" ma:internalName="Duplicated" ma:readOnly="false">
      <xsd:simpleType>
        <xsd:restriction base="dms:Boolean"/>
      </xsd:simpleType>
    </xsd:element>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D33FAC-9602-4797-8FE0-E17DCBA50919}">
  <ds:schemaRefs>
    <ds:schemaRef ds:uri="http://schemas.microsoft.com/office/2006/metadata/properties"/>
    <ds:schemaRef ds:uri="http://schemas.microsoft.com/office/infopath/2007/PartnerControls"/>
    <ds:schemaRef ds:uri="4bb74870-d36b-4b1b-9cf5-6ae27179b6d3"/>
    <ds:schemaRef ds:uri="eaed0734-bccc-4bba-92a3-a85fef71bc30"/>
  </ds:schemaRefs>
</ds:datastoreItem>
</file>

<file path=customXml/itemProps2.xml><?xml version="1.0" encoding="utf-8"?>
<ds:datastoreItem xmlns:ds="http://schemas.openxmlformats.org/officeDocument/2006/customXml" ds:itemID="{A62C9BF3-69EE-4F0E-A197-23F30A98BECB}">
  <ds:schemaRefs>
    <ds:schemaRef ds:uri="http://schemas.microsoft.com/sharepoint/v3/contenttype/forms"/>
  </ds:schemaRefs>
</ds:datastoreItem>
</file>

<file path=customXml/itemProps3.xml><?xml version="1.0" encoding="utf-8"?>
<ds:datastoreItem xmlns:ds="http://schemas.openxmlformats.org/officeDocument/2006/customXml" ds:itemID="{8C30D976-592C-46DD-A5CB-F375F50514C7}">
  <ds:schemaRefs>
    <ds:schemaRef ds:uri="http://schemas.openxmlformats.org/officeDocument/2006/bibliography"/>
  </ds:schemaRefs>
</ds:datastoreItem>
</file>

<file path=customXml/itemProps4.xml><?xml version="1.0" encoding="utf-8"?>
<ds:datastoreItem xmlns:ds="http://schemas.openxmlformats.org/officeDocument/2006/customXml" ds:itemID="{C5051D68-98B4-40B3-97BE-752B4CBE011A}"/>
</file>

<file path=docProps/app.xml><?xml version="1.0" encoding="utf-8"?>
<Properties xmlns="http://schemas.openxmlformats.org/officeDocument/2006/extended-properties" xmlns:vt="http://schemas.openxmlformats.org/officeDocument/2006/docPropsVTypes">
  <Template>Normal</Template>
  <TotalTime>93</TotalTime>
  <Pages>3</Pages>
  <Words>497</Words>
  <Characters>2738</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Commonly used ANALYTICAL PARAMETERS for WINES AND SPARKLING WINES</vt:lpstr>
      <vt:lpstr/>
    </vt:vector>
  </TitlesOfParts>
  <Company/>
  <LinksUpToDate>false</LinksUpToDate>
  <CharactersWithSpaces>3229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Commonly used Analytical Parameters for Wines and Sparkling Wines </dc:title>
  <dc:subject/>
  <dc:creator>Jean-claude Ruf</dc:creator>
  <cp:keywords/>
  <dc:description/>
  <cp:lastModifiedBy>Mina Golubovic</cp:lastModifiedBy>
  <cp:revision>22</cp:revision>
  <cp:lastPrinted>2021-11-26T13:35:00Z</cp:lastPrinted>
  <dcterms:created xsi:type="dcterms:W3CDTF">2022-10-15T14:17:00Z</dcterms:created>
  <dcterms:modified xsi:type="dcterms:W3CDTF">2024-06-18T08:12:00Z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0x010100B75F8B82DC649C4C8F08FB2AC33C700300D9290A88D67F5649AE280DF0ACD174B6</vt:lpwstr>
  </property>
</Properties>
</file>