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3E89D" w14:textId="0937901B" w:rsidR="009416B5" w:rsidRPr="00EA6E40" w:rsidRDefault="009416B5" w:rsidP="00EA6E40">
      <w:pPr>
        <w:pStyle w:val="Textebrut"/>
        <w:jc w:val="both"/>
        <w:rPr>
          <w:rFonts w:ascii="Oswald" w:hAnsi="Oswald" w:cs="Calibri"/>
          <w:b/>
          <w:bCs/>
          <w:sz w:val="32"/>
          <w:szCs w:val="32"/>
          <w:lang w:val="en-GB"/>
        </w:rPr>
      </w:pPr>
      <w:r w:rsidRPr="00EA6E40">
        <w:rPr>
          <w:rFonts w:ascii="Oswald" w:hAnsi="Oswald" w:cs="Calibri"/>
          <w:b/>
          <w:bCs/>
          <w:sz w:val="32"/>
          <w:szCs w:val="32"/>
          <w:lang w:val="en-GB"/>
        </w:rPr>
        <w:t>DRAFT RESOLUTION</w:t>
      </w:r>
    </w:p>
    <w:p w14:paraId="05CF98FE" w14:textId="028B7E31" w:rsidR="009416B5" w:rsidRPr="00EA6E40" w:rsidRDefault="009416B5" w:rsidP="00EA6E40">
      <w:pPr>
        <w:pStyle w:val="Textebrut"/>
        <w:jc w:val="both"/>
        <w:rPr>
          <w:rFonts w:ascii="Oswald" w:hAnsi="Oswald" w:cs="Calibri"/>
          <w:b/>
          <w:bCs/>
          <w:sz w:val="32"/>
          <w:szCs w:val="32"/>
          <w:lang w:val="en-GB"/>
        </w:rPr>
      </w:pPr>
      <w:r w:rsidRPr="00EA6E40">
        <w:rPr>
          <w:rFonts w:ascii="Oswald" w:hAnsi="Oswald" w:cs="Calibri"/>
          <w:b/>
          <w:bCs/>
          <w:sz w:val="32"/>
          <w:szCs w:val="32"/>
          <w:lang w:val="en-GB"/>
        </w:rPr>
        <w:t>ECO-DROCON 21-696 Et</w:t>
      </w:r>
      <w:r w:rsidR="00B24C08" w:rsidRPr="00EA6E40">
        <w:rPr>
          <w:rFonts w:ascii="Oswald" w:hAnsi="Oswald" w:cs="Calibri"/>
          <w:b/>
          <w:bCs/>
          <w:sz w:val="32"/>
          <w:szCs w:val="32"/>
          <w:lang w:val="en-GB"/>
        </w:rPr>
        <w:t>7</w:t>
      </w:r>
    </w:p>
    <w:p w14:paraId="7D368763" w14:textId="77777777" w:rsidR="00EC5FEE" w:rsidRDefault="00EC5FEE" w:rsidP="009416B5">
      <w:pPr>
        <w:pStyle w:val="Textebrut"/>
        <w:jc w:val="right"/>
        <w:rPr>
          <w:rFonts w:ascii="Calibri" w:hAnsi="Calibri" w:cs="Calibri"/>
          <w:sz w:val="22"/>
          <w:szCs w:val="22"/>
          <w:lang w:val="en-GB"/>
        </w:rPr>
      </w:pPr>
    </w:p>
    <w:p w14:paraId="29A03988" w14:textId="02CBD460" w:rsidR="00B51670" w:rsidRDefault="00B51670" w:rsidP="009416B5">
      <w:pPr>
        <w:pStyle w:val="Textebrut"/>
        <w:jc w:val="right"/>
        <w:rPr>
          <w:rFonts w:ascii="Calibri" w:hAnsi="Calibri" w:cs="Calibri"/>
          <w:sz w:val="22"/>
          <w:szCs w:val="22"/>
          <w:lang w:val="en-GB"/>
        </w:rPr>
      </w:pPr>
    </w:p>
    <w:p w14:paraId="082D0678" w14:textId="0A3D41BF" w:rsidR="009416B5" w:rsidRPr="007A36B4" w:rsidRDefault="0062315A" w:rsidP="009416B5">
      <w:pPr>
        <w:pStyle w:val="Textebru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ascii="Lora" w:hAnsi="Lora" w:cs="Calibri"/>
          <w:b/>
          <w:i/>
          <w:iCs/>
          <w:sz w:val="22"/>
          <w:szCs w:val="22"/>
          <w:lang w:val="en-GB"/>
        </w:rPr>
      </w:pPr>
      <w:r w:rsidRPr="007A36B4">
        <w:rPr>
          <w:rFonts w:ascii="Lora" w:hAnsi="Lora"/>
          <w:b/>
          <w:bCs/>
          <w:i/>
          <w:iCs/>
          <w:sz w:val="22"/>
          <w:szCs w:val="22"/>
          <w:lang w:val="en-US"/>
        </w:rPr>
        <w:t>WARNING</w:t>
      </w:r>
      <w:r w:rsidR="009416B5" w:rsidRPr="007A36B4">
        <w:rPr>
          <w:rFonts w:ascii="Lora" w:hAnsi="Lora" w:cs="Calibri"/>
          <w:b/>
          <w:i/>
          <w:iCs/>
          <w:sz w:val="22"/>
          <w:szCs w:val="22"/>
          <w:lang w:val="en-GB"/>
        </w:rPr>
        <w:t xml:space="preserve">: this resolution amends the following resolution: </w:t>
      </w:r>
    </w:p>
    <w:p w14:paraId="425DD3EE" w14:textId="77777777" w:rsidR="009416B5" w:rsidRPr="007A36B4" w:rsidRDefault="009416B5" w:rsidP="009416B5">
      <w:pPr>
        <w:pStyle w:val="Textebru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DEDED" w:themeFill="accent3" w:themeFillTint="33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 xml:space="preserve">ECO 1/88 “List of </w:t>
      </w:r>
      <w:r w:rsidRPr="007A36B4">
        <w:rPr>
          <w:rStyle w:val="Accentuationintense"/>
          <w:rFonts w:ascii="Lora" w:eastAsiaTheme="minorHAnsi" w:hAnsi="Lora" w:cstheme="minorBidi"/>
          <w:lang w:val="it-IT" w:eastAsia="en-US"/>
        </w:rPr>
        <w:t>optional</w:t>
      </w:r>
      <w:r w:rsidRPr="007A36B4">
        <w:rPr>
          <w:rFonts w:ascii="Lora" w:hAnsi="Lora" w:cs="Calibri"/>
          <w:sz w:val="22"/>
          <w:szCs w:val="22"/>
          <w:lang w:val="en-GB"/>
        </w:rPr>
        <w:t xml:space="preserve"> indications for wine labelling”</w:t>
      </w:r>
    </w:p>
    <w:p w14:paraId="5F2FEEA6" w14:textId="77777777" w:rsidR="00EC5FEE" w:rsidRPr="007A36B4" w:rsidRDefault="00EC5FEE" w:rsidP="009416B5">
      <w:pPr>
        <w:pStyle w:val="Textebrut"/>
        <w:jc w:val="both"/>
        <w:rPr>
          <w:rFonts w:ascii="Oswald" w:hAnsi="Oswald" w:cs="Calibri"/>
          <w:b/>
          <w:sz w:val="32"/>
          <w:szCs w:val="32"/>
          <w:lang w:val="en-GB"/>
        </w:rPr>
      </w:pPr>
    </w:p>
    <w:p w14:paraId="72306436" w14:textId="77777777" w:rsidR="009416B5" w:rsidRPr="007A36B4" w:rsidRDefault="009416B5" w:rsidP="009416B5">
      <w:pPr>
        <w:pStyle w:val="Textebrut"/>
        <w:jc w:val="both"/>
        <w:rPr>
          <w:rFonts w:ascii="Oswald" w:hAnsi="Oswald" w:cs="Calibri"/>
          <w:b/>
          <w:bCs/>
          <w:sz w:val="32"/>
          <w:szCs w:val="32"/>
          <w:lang w:val="en-GB"/>
        </w:rPr>
      </w:pPr>
      <w:r w:rsidRPr="007A36B4">
        <w:rPr>
          <w:rFonts w:ascii="Oswald" w:hAnsi="Oswald" w:cs="Calibri"/>
          <w:b/>
          <w:bCs/>
          <w:sz w:val="32"/>
          <w:szCs w:val="32"/>
          <w:lang w:val="en-GB"/>
        </w:rPr>
        <w:t xml:space="preserve">UPDATE OF THE INTERNATIONAL STANDARD FOR WINE LABELLING: VARIETAL NAME </w:t>
      </w:r>
    </w:p>
    <w:p w14:paraId="45816587" w14:textId="2B5B7914" w:rsidR="009416B5" w:rsidRPr="00622755" w:rsidRDefault="009416B5" w:rsidP="009416B5">
      <w:pPr>
        <w:pStyle w:val="Textebrut"/>
        <w:jc w:val="both"/>
        <w:rPr>
          <w:rFonts w:ascii="Calibri" w:hAnsi="Calibri" w:cs="Calibri"/>
          <w:sz w:val="22"/>
          <w:szCs w:val="22"/>
          <w:lang w:val="en-GB"/>
        </w:rPr>
      </w:pPr>
    </w:p>
    <w:p w14:paraId="1020B3E7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 xml:space="preserve">THE GENERAL ASSEMBLY </w:t>
      </w:r>
    </w:p>
    <w:p w14:paraId="51A25FD0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5D427F8F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>IN VIEW of the article 2, paragraph 2 iii of the Agreement of 3</w:t>
      </w:r>
      <w:r w:rsidRPr="007A36B4">
        <w:rPr>
          <w:rFonts w:ascii="Lora" w:hAnsi="Lora" w:cs="Calibri"/>
          <w:sz w:val="22"/>
          <w:szCs w:val="22"/>
          <w:vertAlign w:val="superscript"/>
          <w:lang w:val="en-GB"/>
        </w:rPr>
        <w:t>rd</w:t>
      </w:r>
      <w:r w:rsidRPr="007A36B4">
        <w:rPr>
          <w:rFonts w:ascii="Lora" w:hAnsi="Lora" w:cs="Calibri"/>
          <w:sz w:val="22"/>
          <w:szCs w:val="22"/>
          <w:lang w:val="en-GB"/>
        </w:rPr>
        <w:t xml:space="preserve"> April 2001, establishing the International Organisation of Vine and Wine,</w:t>
      </w:r>
    </w:p>
    <w:p w14:paraId="5B247859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2129E1A6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>CONSIDERING the decision of Executive Committee of April 2017 regarding the necessity to update the International Standard for Wine Labelling,</w:t>
      </w:r>
    </w:p>
    <w:p w14:paraId="5EC265AF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62C3D63F" w14:textId="36B4B367" w:rsidR="009416B5" w:rsidRPr="007A36B4" w:rsidRDefault="009416B5" w:rsidP="009416B5">
      <w:pPr>
        <w:jc w:val="both"/>
        <w:rPr>
          <w:rFonts w:ascii="Lora" w:hAnsi="Lora" w:cs="Calibri"/>
          <w:lang w:val="en-GB"/>
        </w:rPr>
      </w:pPr>
      <w:r w:rsidRPr="007A36B4">
        <w:rPr>
          <w:rFonts w:ascii="Lora" w:hAnsi="Lora" w:cs="Calibri"/>
          <w:lang w:val="en-GB"/>
        </w:rPr>
        <w:t>CONSIDERING the works conducted by the experts’ group DROCON on revision of the OIV International Standard for labelling of wines</w:t>
      </w:r>
      <w:r w:rsidR="00997D8B" w:rsidRPr="007A36B4">
        <w:rPr>
          <w:rFonts w:ascii="Lora" w:hAnsi="Lora" w:cs="Calibri"/>
          <w:lang w:val="en-GB"/>
        </w:rPr>
        <w:t>,</w:t>
      </w:r>
    </w:p>
    <w:p w14:paraId="0DFF0967" w14:textId="4D53470A" w:rsidR="009416B5" w:rsidRPr="007A36B4" w:rsidRDefault="009416B5" w:rsidP="009416B5">
      <w:pPr>
        <w:jc w:val="both"/>
        <w:rPr>
          <w:rFonts w:ascii="Lora" w:hAnsi="Lora" w:cs="Calibri"/>
          <w:lang w:val="en-GB"/>
        </w:rPr>
      </w:pPr>
      <w:r w:rsidRPr="007A36B4">
        <w:rPr>
          <w:rFonts w:ascii="Lora" w:hAnsi="Lora" w:cs="Calibri"/>
          <w:lang w:val="en-GB"/>
        </w:rPr>
        <w:t>CONSIDERING the need to update the required conditions for labelling varietal names and to improve the quality of information communicated to consumers</w:t>
      </w:r>
      <w:r w:rsidR="00997D8B" w:rsidRPr="007A36B4">
        <w:rPr>
          <w:rFonts w:ascii="Lora" w:hAnsi="Lora" w:cs="Calibri"/>
          <w:lang w:val="en-GB"/>
        </w:rPr>
        <w:t>,</w:t>
      </w:r>
    </w:p>
    <w:p w14:paraId="21C371EE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>ON THE PROPOSAL of the Commission Economy and Law,</w:t>
      </w:r>
    </w:p>
    <w:p w14:paraId="61F6890E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552EC3CC" w14:textId="2E734CBC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>DECIDES TO introduce the following modifications to the International Standar</w:t>
      </w:r>
      <w:r w:rsidR="0008786E" w:rsidRPr="007A36B4">
        <w:rPr>
          <w:rFonts w:ascii="Lora" w:hAnsi="Lora" w:cs="Calibri"/>
          <w:sz w:val="22"/>
          <w:szCs w:val="22"/>
          <w:lang w:val="en-GB"/>
        </w:rPr>
        <w:t>d</w:t>
      </w:r>
      <w:r w:rsidRPr="007A36B4">
        <w:rPr>
          <w:rFonts w:ascii="Lora" w:hAnsi="Lora" w:cs="Calibri"/>
          <w:sz w:val="22"/>
          <w:szCs w:val="22"/>
          <w:lang w:val="en-GB"/>
        </w:rPr>
        <w:t xml:space="preserve"> for Labelling of wine:</w:t>
      </w:r>
    </w:p>
    <w:p w14:paraId="7E1A5EF8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54BA4595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  <w:r w:rsidRPr="007A36B4">
        <w:rPr>
          <w:rFonts w:ascii="Lora" w:hAnsi="Lora" w:cs="Calibri"/>
          <w:sz w:val="22"/>
          <w:szCs w:val="22"/>
          <w:lang w:val="en-GB"/>
        </w:rPr>
        <w:t>Modify the Article 3.1.4 “Varietal name” as follows:</w:t>
      </w:r>
    </w:p>
    <w:p w14:paraId="090C37C7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34C48E2F" w14:textId="77777777" w:rsidR="009416B5" w:rsidRPr="007A36B4" w:rsidRDefault="009416B5" w:rsidP="009416B5">
      <w:pPr>
        <w:pStyle w:val="Textebrut"/>
        <w:numPr>
          <w:ilvl w:val="0"/>
          <w:numId w:val="2"/>
        </w:numPr>
        <w:jc w:val="both"/>
        <w:rPr>
          <w:rFonts w:ascii="Lora" w:hAnsi="Lora" w:cs="Calibri"/>
          <w:sz w:val="22"/>
          <w:szCs w:val="22"/>
          <w:u w:val="single"/>
          <w:lang w:val="en-GB"/>
        </w:rPr>
      </w:pPr>
      <w:r w:rsidRPr="007A36B4">
        <w:rPr>
          <w:rFonts w:ascii="Lora" w:hAnsi="Lora" w:cs="Calibri"/>
          <w:sz w:val="22"/>
          <w:szCs w:val="22"/>
          <w:u w:val="single"/>
          <w:lang w:val="en-GB"/>
        </w:rPr>
        <w:t xml:space="preserve">Replace the first bullet point of the article 3.1.4.a by the following text: </w:t>
      </w:r>
    </w:p>
    <w:p w14:paraId="738F6016" w14:textId="77777777" w:rsidR="009416B5" w:rsidRPr="007A36B4" w:rsidRDefault="009416B5" w:rsidP="009416B5">
      <w:pPr>
        <w:pStyle w:val="Textebrut"/>
        <w:jc w:val="both"/>
        <w:rPr>
          <w:rFonts w:ascii="Lora" w:hAnsi="Lora" w:cs="Calibri"/>
          <w:sz w:val="22"/>
          <w:szCs w:val="22"/>
          <w:lang w:val="en-GB"/>
        </w:rPr>
      </w:pPr>
    </w:p>
    <w:p w14:paraId="5E6622FA" w14:textId="385FD94A" w:rsidR="009416B5" w:rsidRPr="007A36B4" w:rsidRDefault="009416B5" w:rsidP="009416B5">
      <w:pPr>
        <w:pStyle w:val="Paragraphedeliste"/>
        <w:numPr>
          <w:ilvl w:val="1"/>
          <w:numId w:val="1"/>
        </w:numPr>
        <w:ind w:left="461" w:hanging="284"/>
        <w:jc w:val="both"/>
        <w:rPr>
          <w:rFonts w:ascii="Lora" w:hAnsi="Lora" w:cstheme="minorHAnsi"/>
          <w:color w:val="000000" w:themeColor="text1"/>
          <w:lang w:val="en-GB"/>
        </w:rPr>
      </w:pPr>
      <w:r w:rsidRPr="007A36B4">
        <w:rPr>
          <w:rFonts w:ascii="Lora" w:hAnsi="Lora" w:cstheme="minorHAnsi"/>
          <w:color w:val="000000" w:themeColor="text1"/>
          <w:lang w:val="en-GB"/>
        </w:rPr>
        <w:t>“the wine is produced from at least 85% of the grapes of the said varietal</w:t>
      </w:r>
      <w:r w:rsidR="00494229" w:rsidRPr="007A36B4">
        <w:rPr>
          <w:rFonts w:ascii="Lora" w:hAnsi="Lora" w:cstheme="minorHAnsi"/>
          <w:color w:val="000000" w:themeColor="text1"/>
          <w:lang w:val="en-GB"/>
        </w:rPr>
        <w:t>(not including any quantity of grapevine products used in sweetening)</w:t>
      </w:r>
      <w:r w:rsidRPr="007A36B4">
        <w:rPr>
          <w:rFonts w:ascii="Lora" w:hAnsi="Lora" w:cstheme="minorHAnsi"/>
          <w:color w:val="000000" w:themeColor="text1"/>
          <w:lang w:val="en-GB"/>
        </w:rPr>
        <w:t>;”</w:t>
      </w:r>
    </w:p>
    <w:p w14:paraId="0F58BBBF" w14:textId="77777777" w:rsidR="009416B5" w:rsidRPr="007A36B4" w:rsidRDefault="009416B5" w:rsidP="009416B5">
      <w:pPr>
        <w:pStyle w:val="Paragraphedeliste"/>
        <w:ind w:left="461"/>
        <w:jc w:val="both"/>
        <w:rPr>
          <w:rFonts w:ascii="Lora" w:hAnsi="Lora" w:cstheme="minorHAnsi"/>
          <w:color w:val="000000" w:themeColor="text1"/>
          <w:lang w:val="en-GB"/>
        </w:rPr>
      </w:pPr>
    </w:p>
    <w:p w14:paraId="5A274994" w14:textId="77777777" w:rsidR="009416B5" w:rsidRPr="007A36B4" w:rsidRDefault="009416B5" w:rsidP="009416B5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Lora" w:hAnsi="Lora" w:cs="Calibri"/>
          <w:bCs/>
          <w:u w:val="single"/>
          <w:lang w:val="en-GB"/>
        </w:rPr>
      </w:pPr>
      <w:r w:rsidRPr="007A36B4">
        <w:rPr>
          <w:rFonts w:ascii="Lora" w:hAnsi="Lora" w:cs="Calibri"/>
          <w:bCs/>
          <w:u w:val="single"/>
          <w:lang w:val="en-GB"/>
        </w:rPr>
        <w:t xml:space="preserve">Replace the article 3.1.4.b by the following text: </w:t>
      </w:r>
    </w:p>
    <w:p w14:paraId="303E9FA3" w14:textId="33A00060" w:rsidR="009416B5" w:rsidRPr="007A36B4" w:rsidRDefault="009416B5" w:rsidP="00D20F03">
      <w:pPr>
        <w:pStyle w:val="Paragraphedeliste"/>
        <w:numPr>
          <w:ilvl w:val="1"/>
          <w:numId w:val="1"/>
        </w:numPr>
        <w:spacing w:before="120" w:after="120"/>
        <w:ind w:left="460" w:hanging="284"/>
        <w:contextualSpacing w:val="0"/>
        <w:jc w:val="both"/>
        <w:rPr>
          <w:rFonts w:ascii="Lora" w:hAnsi="Lora" w:cstheme="minorHAnsi"/>
          <w:color w:val="000000" w:themeColor="text1"/>
          <w:lang w:val="en-GB"/>
        </w:rPr>
      </w:pPr>
      <w:r w:rsidRPr="007A36B4">
        <w:rPr>
          <w:rFonts w:ascii="Lora" w:hAnsi="Lora" w:cstheme="minorHAnsi"/>
          <w:color w:val="000000" w:themeColor="text1"/>
          <w:lang w:val="en-GB"/>
        </w:rPr>
        <w:lastRenderedPageBreak/>
        <w:t xml:space="preserve">“if two or more wine grape varieties or their synonyms are named, </w:t>
      </w:r>
      <w:r w:rsidR="00F52D91" w:rsidRPr="007A36B4">
        <w:rPr>
          <w:rFonts w:ascii="Lora" w:hAnsi="Lora" w:cstheme="minorHAnsi"/>
          <w:color w:val="000000" w:themeColor="text1"/>
          <w:lang w:val="en-GB"/>
        </w:rPr>
        <w:t xml:space="preserve">at least </w:t>
      </w:r>
      <w:r w:rsidR="00402130" w:rsidRPr="007A36B4">
        <w:rPr>
          <w:rFonts w:ascii="Lora" w:hAnsi="Lora" w:cstheme="minorHAnsi"/>
          <w:color w:val="000000" w:themeColor="text1"/>
          <w:lang w:val="en-GB"/>
        </w:rPr>
        <w:t>85</w:t>
      </w:r>
      <w:r w:rsidRPr="007A36B4">
        <w:rPr>
          <w:rFonts w:ascii="Lora" w:hAnsi="Lora" w:cstheme="minorHAnsi"/>
          <w:color w:val="000000" w:themeColor="text1"/>
          <w:lang w:val="en-GB"/>
        </w:rPr>
        <w:t>% of the product concerned must have been made from these varieties (not including any quantity of grapevine products used in sweetening):</w:t>
      </w:r>
    </w:p>
    <w:p w14:paraId="6D7F0721" w14:textId="0203087B" w:rsidR="009416B5" w:rsidRPr="007A36B4" w:rsidRDefault="009416B5" w:rsidP="00D20F03">
      <w:pPr>
        <w:pStyle w:val="Paragraphedeliste"/>
        <w:numPr>
          <w:ilvl w:val="1"/>
          <w:numId w:val="1"/>
        </w:numPr>
        <w:spacing w:before="120" w:after="120"/>
        <w:ind w:left="460" w:hanging="284"/>
        <w:contextualSpacing w:val="0"/>
        <w:jc w:val="both"/>
        <w:rPr>
          <w:rFonts w:ascii="Lora" w:hAnsi="Lora" w:cstheme="minorHAnsi"/>
          <w:color w:val="000000" w:themeColor="text1"/>
          <w:lang w:val="en-GB"/>
        </w:rPr>
      </w:pPr>
      <w:r w:rsidRPr="007A36B4">
        <w:rPr>
          <w:rFonts w:ascii="Lora" w:hAnsi="Lora" w:cstheme="minorHAnsi"/>
          <w:color w:val="000000" w:themeColor="text1"/>
          <w:lang w:val="en-GB"/>
        </w:rPr>
        <w:t>The wine grape varieties must appear on the label in descending order of the proportion used and in characters of the same size.</w:t>
      </w:r>
    </w:p>
    <w:p w14:paraId="4FAE56A5" w14:textId="1611CBB4" w:rsidR="00A307F3" w:rsidRPr="007A36B4" w:rsidRDefault="00347D98" w:rsidP="00F8730C">
      <w:pPr>
        <w:pStyle w:val="Paragraphedeliste"/>
        <w:numPr>
          <w:ilvl w:val="1"/>
          <w:numId w:val="1"/>
        </w:numPr>
        <w:spacing w:before="120" w:after="120"/>
        <w:ind w:left="460" w:hanging="284"/>
        <w:contextualSpacing w:val="0"/>
        <w:jc w:val="both"/>
        <w:rPr>
          <w:rFonts w:ascii="Lora" w:hAnsi="Lora" w:cstheme="minorHAnsi"/>
          <w:color w:val="000000" w:themeColor="text1"/>
          <w:lang w:val="en-GB"/>
        </w:rPr>
      </w:pPr>
      <w:r w:rsidRPr="007A36B4">
        <w:rPr>
          <w:rFonts w:ascii="Lora" w:hAnsi="Lora" w:cstheme="minorHAnsi"/>
          <w:color w:val="000000" w:themeColor="text1"/>
          <w:lang w:val="en-GB"/>
        </w:rPr>
        <w:t>No wine grape variety may appear on the label if it has been used in a smaller proportion than another variety that is not on the label.</w:t>
      </w:r>
    </w:p>
    <w:p w14:paraId="2A7005D7" w14:textId="07973F5F" w:rsidR="009416B5" w:rsidRPr="007A36B4" w:rsidRDefault="00402130" w:rsidP="00EA6E40">
      <w:pPr>
        <w:pStyle w:val="Paragraphedeliste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Lora" w:hAnsi="Lora" w:cs="Calibri"/>
          <w:bCs/>
          <w:u w:val="single"/>
          <w:lang w:val="en-GB"/>
        </w:rPr>
      </w:pPr>
      <w:r w:rsidRPr="007A36B4">
        <w:rPr>
          <w:rFonts w:ascii="Lora" w:hAnsi="Lora" w:cs="Calibri"/>
          <w:bCs/>
          <w:u w:val="single"/>
          <w:lang w:val="en-GB"/>
        </w:rPr>
        <w:t xml:space="preserve">Delete the item 3.1.4.c </w:t>
      </w:r>
      <w:r w:rsidR="009416B5" w:rsidRPr="007A36B4">
        <w:rPr>
          <w:rFonts w:ascii="Lora" w:hAnsi="Lora" w:cs="Calibri"/>
          <w:bCs/>
          <w:u w:val="single"/>
          <w:lang w:val="en-GB"/>
        </w:rPr>
        <w:t xml:space="preserve">: </w:t>
      </w:r>
    </w:p>
    <w:p w14:paraId="6696AAD1" w14:textId="77777777" w:rsidR="009416B5" w:rsidRPr="007A36B4" w:rsidRDefault="009416B5" w:rsidP="00EA6E40">
      <w:pPr>
        <w:pStyle w:val="Paragraphedeliste"/>
        <w:numPr>
          <w:ilvl w:val="0"/>
          <w:numId w:val="2"/>
        </w:numPr>
        <w:spacing w:before="120" w:after="120" w:line="240" w:lineRule="auto"/>
        <w:ind w:left="714" w:hanging="357"/>
        <w:contextualSpacing w:val="0"/>
        <w:jc w:val="both"/>
        <w:rPr>
          <w:rFonts w:ascii="Lora" w:hAnsi="Lora" w:cs="Calibri"/>
          <w:bCs/>
          <w:u w:val="single"/>
          <w:lang w:val="en-GB"/>
        </w:rPr>
      </w:pPr>
      <w:r w:rsidRPr="007A36B4">
        <w:rPr>
          <w:rFonts w:ascii="Lora" w:hAnsi="Lora" w:cs="Calibri"/>
          <w:bCs/>
          <w:u w:val="single"/>
          <w:lang w:val="en-GB"/>
        </w:rPr>
        <w:t>Delete the NB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4536"/>
        <w:gridCol w:w="4111"/>
      </w:tblGrid>
      <w:tr w:rsidR="009416B5" w:rsidRPr="007A36B4" w14:paraId="76240B22" w14:textId="77777777" w:rsidTr="00341E82">
        <w:tc>
          <w:tcPr>
            <w:tcW w:w="4536" w:type="dxa"/>
          </w:tcPr>
          <w:p w14:paraId="7137A544" w14:textId="71861CF7" w:rsidR="009416B5" w:rsidRPr="007A36B4" w:rsidRDefault="008911EF" w:rsidP="00341E82">
            <w:pPr>
              <w:jc w:val="both"/>
              <w:rPr>
                <w:rFonts w:ascii="Lora" w:hAnsi="Lora" w:cstheme="minorHAnsi"/>
                <w:b/>
                <w:bCs/>
                <w:lang w:val="en-GB"/>
              </w:rPr>
            </w:pPr>
            <w:r w:rsidRPr="007A36B4">
              <w:rPr>
                <w:rFonts w:ascii="Lora" w:hAnsi="Lora" w:cstheme="minorHAnsi"/>
                <w:b/>
                <w:bCs/>
                <w:lang w:val="en-GB"/>
              </w:rPr>
              <w:t>Current</w:t>
            </w:r>
            <w:r w:rsidR="009416B5" w:rsidRPr="007A36B4">
              <w:rPr>
                <w:rFonts w:ascii="Lora" w:hAnsi="Lora" w:cstheme="minorHAnsi"/>
                <w:b/>
                <w:bCs/>
                <w:lang w:val="en-GB"/>
              </w:rPr>
              <w:t xml:space="preserve"> version</w:t>
            </w:r>
          </w:p>
        </w:tc>
        <w:tc>
          <w:tcPr>
            <w:tcW w:w="4111" w:type="dxa"/>
          </w:tcPr>
          <w:p w14:paraId="7ECC13E4" w14:textId="77777777" w:rsidR="009416B5" w:rsidRPr="007A36B4" w:rsidRDefault="009416B5" w:rsidP="00341E82">
            <w:pPr>
              <w:jc w:val="both"/>
              <w:rPr>
                <w:rFonts w:ascii="Lora" w:hAnsi="Lora" w:cstheme="minorHAnsi"/>
                <w:b/>
                <w:bCs/>
                <w:lang w:val="en-GB"/>
              </w:rPr>
            </w:pPr>
            <w:r w:rsidRPr="007A36B4">
              <w:rPr>
                <w:rFonts w:ascii="Lora" w:hAnsi="Lora" w:cstheme="minorHAnsi"/>
                <w:b/>
                <w:bCs/>
                <w:lang w:val="en-GB"/>
              </w:rPr>
              <w:t>Version after amendments</w:t>
            </w:r>
          </w:p>
        </w:tc>
      </w:tr>
      <w:tr w:rsidR="009416B5" w:rsidRPr="007A36B4" w14:paraId="4E6C4CDD" w14:textId="77777777" w:rsidTr="00341E82">
        <w:tc>
          <w:tcPr>
            <w:tcW w:w="4536" w:type="dxa"/>
          </w:tcPr>
          <w:p w14:paraId="5FCC1A8D" w14:textId="77777777" w:rsidR="009416B5" w:rsidRPr="007A36B4" w:rsidRDefault="009416B5" w:rsidP="00341E82">
            <w:pPr>
              <w:spacing w:after="160" w:line="259" w:lineRule="auto"/>
              <w:jc w:val="both"/>
              <w:rPr>
                <w:rFonts w:ascii="Lora" w:hAnsi="Lora" w:cstheme="minorHAnsi"/>
                <w:b/>
                <w:bCs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b/>
                <w:bCs/>
                <w:color w:val="000000" w:themeColor="text1"/>
                <w:lang w:val="en-GB"/>
              </w:rPr>
              <w:t>3.1.4 Varietal name</w:t>
            </w:r>
          </w:p>
        </w:tc>
        <w:tc>
          <w:tcPr>
            <w:tcW w:w="4111" w:type="dxa"/>
          </w:tcPr>
          <w:p w14:paraId="34236F29" w14:textId="77777777" w:rsidR="009416B5" w:rsidRPr="007A36B4" w:rsidRDefault="009416B5" w:rsidP="00341E82">
            <w:pPr>
              <w:spacing w:after="160" w:line="259" w:lineRule="auto"/>
              <w:jc w:val="both"/>
              <w:rPr>
                <w:rFonts w:ascii="Lora" w:hAnsi="Lora" w:cstheme="minorHAnsi"/>
                <w:b/>
                <w:bCs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b/>
                <w:bCs/>
                <w:color w:val="000000" w:themeColor="text1"/>
                <w:lang w:val="en-GB"/>
              </w:rPr>
              <w:t>3.1.4 Varietal name</w:t>
            </w:r>
          </w:p>
        </w:tc>
      </w:tr>
      <w:tr w:rsidR="009416B5" w:rsidRPr="007A36B4" w14:paraId="1F98A5A1" w14:textId="77777777" w:rsidTr="00341E82">
        <w:tc>
          <w:tcPr>
            <w:tcW w:w="4536" w:type="dxa"/>
          </w:tcPr>
          <w:p w14:paraId="089BA298" w14:textId="7EB04425" w:rsidR="009416B5" w:rsidRPr="007A36B4" w:rsidRDefault="009416B5" w:rsidP="00EA6E40">
            <w:pPr>
              <w:pStyle w:val="Paragraphedeliste"/>
              <w:numPr>
                <w:ilvl w:val="0"/>
                <w:numId w:val="3"/>
              </w:numPr>
              <w:spacing w:before="120" w:after="120" w:line="259" w:lineRule="auto"/>
              <w:ind w:left="459" w:hanging="357"/>
              <w:contextualSpacing w:val="0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Can only be indicated if:</w:t>
            </w:r>
          </w:p>
          <w:p w14:paraId="55B95717" w14:textId="77777777" w:rsidR="009416B5" w:rsidRPr="007A36B4" w:rsidRDefault="009416B5" w:rsidP="009416B5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wine is produced from at least 75% of the grapes of the said varietal;</w:t>
            </w:r>
          </w:p>
          <w:p w14:paraId="424EFE33" w14:textId="77777777" w:rsidR="009416B5" w:rsidRPr="007A36B4" w:rsidRDefault="009416B5" w:rsidP="009416B5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this varietal determines the specific character of a wine;</w:t>
            </w:r>
          </w:p>
          <w:p w14:paraId="15457511" w14:textId="4C9EF27D" w:rsidR="0053626A" w:rsidRPr="007A36B4" w:rsidRDefault="009416B5" w:rsidP="00F8730C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bookmarkStart w:id="0" w:name="_Hlk161657663"/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name of the varietal does not lend itself to confusion with a recognised appellation of origin or a recognised geographic indication.</w:t>
            </w:r>
            <w:bookmarkEnd w:id="0"/>
          </w:p>
          <w:p w14:paraId="60CC6397" w14:textId="77777777" w:rsidR="00F8730C" w:rsidRPr="007A36B4" w:rsidRDefault="00F8730C" w:rsidP="00EA6E40">
            <w:pPr>
              <w:pStyle w:val="Paragraphedeliste"/>
              <w:spacing w:after="160" w:line="259" w:lineRule="auto"/>
              <w:ind w:left="461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</w:p>
          <w:p w14:paraId="2110FDD4" w14:textId="77777777" w:rsidR="009416B5" w:rsidRPr="007A36B4" w:rsidRDefault="009416B5" w:rsidP="00EA6E40">
            <w:pPr>
              <w:pStyle w:val="Paragraphedeliste"/>
              <w:numPr>
                <w:ilvl w:val="0"/>
                <w:numId w:val="3"/>
              </w:numPr>
              <w:spacing w:before="120" w:after="120" w:line="259" w:lineRule="auto"/>
              <w:ind w:left="459" w:hanging="357"/>
              <w:contextualSpacing w:val="0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When the names of two varietals are mentioned:</w:t>
            </w:r>
          </w:p>
          <w:p w14:paraId="23E672CD" w14:textId="77777777" w:rsidR="009416B5" w:rsidRPr="007A36B4" w:rsidRDefault="009416B5" w:rsidP="009416B5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wine must come entirely from these two varietals;</w:t>
            </w:r>
          </w:p>
          <w:p w14:paraId="5ACEF292" w14:textId="77777777" w:rsidR="009416B5" w:rsidRPr="007A36B4" w:rsidRDefault="009416B5" w:rsidP="009416B5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they must be indicated by decreasing order of importance;</w:t>
            </w:r>
          </w:p>
          <w:p w14:paraId="503CAB8C" w14:textId="77777777" w:rsidR="009416B5" w:rsidRPr="007A36B4" w:rsidRDefault="009416B5" w:rsidP="009416B5">
            <w:pPr>
              <w:pStyle w:val="Paragraphedeliste"/>
              <w:numPr>
                <w:ilvl w:val="1"/>
                <w:numId w:val="3"/>
              </w:numPr>
              <w:spacing w:after="160" w:line="259" w:lineRule="auto"/>
              <w:ind w:left="461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States set the minimum percentage for the quantity of the least important grape, which must not be less than 15%.</w:t>
            </w:r>
          </w:p>
          <w:p w14:paraId="02C7F104" w14:textId="77777777" w:rsidR="00F8730C" w:rsidRPr="007A36B4" w:rsidRDefault="00F8730C" w:rsidP="00EA6E40">
            <w:pPr>
              <w:ind w:left="177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</w:p>
          <w:p w14:paraId="3DC536B2" w14:textId="18DABFED" w:rsidR="0053626A" w:rsidRPr="007A36B4" w:rsidRDefault="009416B5" w:rsidP="00EA6E40">
            <w:pPr>
              <w:pStyle w:val="Paragraphedeliste"/>
              <w:numPr>
                <w:ilvl w:val="0"/>
                <w:numId w:val="3"/>
              </w:numPr>
              <w:spacing w:before="120" w:after="120" w:line="259" w:lineRule="auto"/>
              <w:ind w:left="459" w:hanging="357"/>
              <w:contextualSpacing w:val="0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Exceptionally in countries where more than two varietals are usually shown in the labelling of wine, the percentage of each must figure on the label.</w:t>
            </w:r>
          </w:p>
          <w:p w14:paraId="2A45AC0A" w14:textId="77777777" w:rsidR="00F8730C" w:rsidRPr="007A36B4" w:rsidRDefault="00F8730C" w:rsidP="00EA6E40">
            <w:pPr>
              <w:ind w:left="360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</w:p>
          <w:p w14:paraId="6EF63813" w14:textId="77777777" w:rsidR="0053626A" w:rsidRPr="007A36B4" w:rsidRDefault="0053626A" w:rsidP="00341E82">
            <w:pPr>
              <w:spacing w:after="160" w:line="259" w:lineRule="auto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</w:p>
          <w:p w14:paraId="5F271E0A" w14:textId="165108A4" w:rsidR="009416B5" w:rsidRPr="007A36B4" w:rsidRDefault="009416B5" w:rsidP="00341E82">
            <w:pPr>
              <w:spacing w:after="160" w:line="259" w:lineRule="auto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lastRenderedPageBreak/>
              <w:t>NB - To ensure these provisions are respected, it is recommended that the States demand a harvest declaration showing the produced quantities of each varietal, along with the acreage planted with these varietals.</w:t>
            </w:r>
          </w:p>
          <w:p w14:paraId="37C120E4" w14:textId="77777777" w:rsidR="009416B5" w:rsidRPr="007A36B4" w:rsidRDefault="009416B5" w:rsidP="00341E82">
            <w:pPr>
              <w:spacing w:after="160" w:line="259" w:lineRule="auto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</w:p>
        </w:tc>
        <w:tc>
          <w:tcPr>
            <w:tcW w:w="4111" w:type="dxa"/>
          </w:tcPr>
          <w:p w14:paraId="2FC1D50E" w14:textId="609DA6D2" w:rsidR="009416B5" w:rsidRPr="007A36B4" w:rsidRDefault="009416B5" w:rsidP="00A307F3">
            <w:pPr>
              <w:numPr>
                <w:ilvl w:val="0"/>
                <w:numId w:val="4"/>
              </w:numPr>
              <w:spacing w:before="120" w:after="120"/>
              <w:ind w:left="448" w:hanging="357"/>
              <w:jc w:val="both"/>
              <w:rPr>
                <w:rFonts w:ascii="Lora" w:hAnsi="Lora" w:cstheme="minorHAnsi"/>
                <w:lang w:val="en-GB"/>
              </w:rPr>
            </w:pPr>
            <w:r w:rsidRPr="007A36B4">
              <w:rPr>
                <w:rFonts w:ascii="Lora" w:hAnsi="Lora" w:cstheme="minorHAnsi"/>
                <w:lang w:val="en-GB"/>
              </w:rPr>
              <w:lastRenderedPageBreak/>
              <w:t>Can only be indicated if:</w:t>
            </w:r>
          </w:p>
          <w:p w14:paraId="3A17470A" w14:textId="591737AD" w:rsidR="009416B5" w:rsidRPr="00EA6E40" w:rsidRDefault="009416B5" w:rsidP="00A307F3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ind w:left="453" w:hanging="284"/>
              <w:jc w:val="both"/>
              <w:rPr>
                <w:rFonts w:ascii="Lora" w:hAnsi="Lora"/>
                <w:strike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wine is produced from at least 85% of the grapes of the said varietal</w:t>
            </w:r>
            <w:r w:rsidR="003C7A7E" w:rsidRPr="007A36B4">
              <w:rPr>
                <w:rFonts w:ascii="Lora" w:hAnsi="Lora" w:cstheme="minorHAnsi"/>
                <w:color w:val="000000" w:themeColor="text1"/>
                <w:lang w:val="en-GB"/>
              </w:rPr>
              <w:t xml:space="preserve"> </w:t>
            </w:r>
            <w:r w:rsidR="003C7A7E" w:rsidRPr="007A36B4">
              <w:rPr>
                <w:rFonts w:ascii="Lora" w:hAnsi="Lora" w:cstheme="minorHAnsi"/>
                <w:lang w:val="en-GB"/>
              </w:rPr>
              <w:t>(not including any quantity of grapevine products used in sweetening</w:t>
            </w:r>
            <w:r w:rsidR="00696C5E" w:rsidRPr="007A36B4">
              <w:rPr>
                <w:rFonts w:ascii="Lora" w:hAnsi="Lora" w:cstheme="minorHAnsi"/>
                <w:lang w:val="en-GB"/>
              </w:rPr>
              <w:t>;</w:t>
            </w:r>
            <w:r w:rsidR="00582768" w:rsidRPr="007A36B4">
              <w:rPr>
                <w:rFonts w:ascii="Lora" w:hAnsi="Lora" w:cstheme="minorHAnsi"/>
                <w:lang w:val="en-GB"/>
              </w:rPr>
              <w:t xml:space="preserve"> </w:t>
            </w:r>
          </w:p>
          <w:p w14:paraId="2A0D1304" w14:textId="77777777" w:rsidR="009416B5" w:rsidRPr="007A36B4" w:rsidRDefault="009416B5" w:rsidP="00A307F3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ind w:left="453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this varietal determines the specific character of a wine;</w:t>
            </w:r>
          </w:p>
          <w:p w14:paraId="529F45C3" w14:textId="77777777" w:rsidR="009416B5" w:rsidRPr="007A36B4" w:rsidRDefault="009416B5" w:rsidP="00A307F3">
            <w:pPr>
              <w:pStyle w:val="Paragraphedeliste"/>
              <w:numPr>
                <w:ilvl w:val="1"/>
                <w:numId w:val="5"/>
              </w:numPr>
              <w:spacing w:after="160" w:line="259" w:lineRule="auto"/>
              <w:ind w:left="453" w:hanging="284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the name of the varietal does not lend itself to confusion with a recognised appellation of origin or a recognised geographic indication.</w:t>
            </w:r>
          </w:p>
          <w:p w14:paraId="5CC1ECAA" w14:textId="6ABFBDDD" w:rsidR="00E855AC" w:rsidRPr="007A36B4" w:rsidRDefault="009416B5" w:rsidP="00EA6E40">
            <w:pPr>
              <w:numPr>
                <w:ilvl w:val="0"/>
                <w:numId w:val="4"/>
              </w:numPr>
              <w:spacing w:before="120" w:after="120"/>
              <w:ind w:left="454"/>
              <w:jc w:val="both"/>
              <w:rPr>
                <w:rFonts w:ascii="Lora" w:hAnsi="Lora" w:cstheme="minorHAnsi"/>
                <w:lang w:val="en-GB"/>
              </w:rPr>
            </w:pPr>
            <w:r w:rsidRPr="007A36B4">
              <w:rPr>
                <w:rFonts w:ascii="Lora" w:hAnsi="Lora" w:cstheme="minorHAnsi"/>
                <w:lang w:val="en-GB"/>
              </w:rPr>
              <w:t xml:space="preserve">if two or more wine grape varieties or their synonyms are named, </w:t>
            </w:r>
            <w:r w:rsidR="003C7A7E" w:rsidRPr="007A36B4">
              <w:rPr>
                <w:rFonts w:ascii="Lora" w:hAnsi="Lora" w:cstheme="minorHAnsi"/>
                <w:lang w:val="en-GB"/>
              </w:rPr>
              <w:t>at least   85</w:t>
            </w:r>
            <w:r w:rsidRPr="007A36B4">
              <w:rPr>
                <w:rFonts w:ascii="Lora" w:hAnsi="Lora" w:cstheme="minorHAnsi"/>
                <w:lang w:val="en-GB"/>
              </w:rPr>
              <w:t>% of the product concerned must have been made from these varieties (not including any quantity of grapevine products used in sweetening</w:t>
            </w:r>
            <w:r w:rsidR="00E855AC" w:rsidRPr="007A36B4">
              <w:rPr>
                <w:rFonts w:ascii="Lora" w:hAnsi="Lora" w:cstheme="minorHAnsi"/>
                <w:lang w:val="en-GB"/>
              </w:rPr>
              <w:t>.</w:t>
            </w:r>
          </w:p>
          <w:p w14:paraId="58A5391C" w14:textId="6AF8903A" w:rsidR="00D20F03" w:rsidRPr="007A36B4" w:rsidRDefault="009416B5" w:rsidP="00E855AC">
            <w:pPr>
              <w:spacing w:before="120" w:after="120"/>
              <w:ind w:left="454"/>
              <w:jc w:val="both"/>
              <w:rPr>
                <w:rFonts w:ascii="Lora" w:hAnsi="Lora" w:cstheme="minorHAnsi"/>
                <w:lang w:val="en-GB"/>
              </w:rPr>
            </w:pPr>
            <w:r w:rsidRPr="007A36B4">
              <w:rPr>
                <w:rFonts w:ascii="Lora" w:hAnsi="Lora" w:cstheme="minorHAnsi"/>
                <w:lang w:val="en-GB"/>
              </w:rPr>
              <w:t>The wine grape varieties must appear on the label in descending order of the proportion used and in characters of the same size.</w:t>
            </w:r>
            <w:bookmarkStart w:id="1" w:name="_Hlk140587064"/>
          </w:p>
          <w:p w14:paraId="23031298" w14:textId="27137F27" w:rsidR="00F8730C" w:rsidRPr="007A36B4" w:rsidRDefault="00F8730C" w:rsidP="00E855AC">
            <w:pPr>
              <w:spacing w:before="120" w:after="120"/>
              <w:ind w:left="454"/>
              <w:jc w:val="both"/>
              <w:rPr>
                <w:rFonts w:ascii="Lora" w:hAnsi="Lora" w:cstheme="minorHAnsi"/>
                <w:lang w:val="en-GB"/>
              </w:rPr>
            </w:pPr>
            <w:r w:rsidRPr="007A36B4">
              <w:rPr>
                <w:rFonts w:ascii="Lora" w:hAnsi="Lora" w:cstheme="minorHAnsi"/>
                <w:lang w:val="en-GB"/>
              </w:rPr>
              <w:t>No wine grape variety may appear on the label if it has been used in a smaller proportion than another variety that is not on the label.</w:t>
            </w:r>
          </w:p>
          <w:bookmarkEnd w:id="1"/>
          <w:p w14:paraId="59F7BF81" w14:textId="77777777" w:rsidR="009416B5" w:rsidRPr="007A36B4" w:rsidRDefault="009416B5" w:rsidP="00F8730C">
            <w:pPr>
              <w:jc w:val="both"/>
              <w:rPr>
                <w:rFonts w:ascii="Lora" w:hAnsi="Lora" w:cstheme="minorHAnsi"/>
                <w:lang w:val="en-GB"/>
              </w:rPr>
            </w:pPr>
          </w:p>
          <w:p w14:paraId="27811F40" w14:textId="7547E1AB" w:rsidR="009416B5" w:rsidRPr="007A36B4" w:rsidRDefault="00934153" w:rsidP="00341E82">
            <w:pPr>
              <w:spacing w:after="160" w:line="259" w:lineRule="auto"/>
              <w:jc w:val="both"/>
              <w:rPr>
                <w:rFonts w:ascii="Lora" w:hAnsi="Lora" w:cstheme="minorHAnsi"/>
                <w:color w:val="000000" w:themeColor="text1"/>
                <w:lang w:val="en-GB"/>
              </w:rPr>
            </w:pP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lastRenderedPageBreak/>
              <w:t>To ensure these provisions are respected, it is recommended that States ensure the implementation of traceability of volumes</w:t>
            </w:r>
            <w:r w:rsidR="001514A8" w:rsidRPr="007A36B4">
              <w:rPr>
                <w:rFonts w:ascii="Lora" w:hAnsi="Lora" w:cstheme="minorHAnsi"/>
                <w:color w:val="000000" w:themeColor="text1"/>
                <w:lang w:val="en-GB"/>
              </w:rPr>
              <w:t xml:space="preserve"> of grape variety(ies) used in the product produced</w:t>
            </w:r>
            <w:r w:rsidRPr="007A36B4">
              <w:rPr>
                <w:rFonts w:ascii="Lora" w:hAnsi="Lora" w:cstheme="minorHAnsi"/>
                <w:color w:val="000000" w:themeColor="text1"/>
                <w:lang w:val="en-GB"/>
              </w:rPr>
              <w:t>.</w:t>
            </w:r>
          </w:p>
        </w:tc>
      </w:tr>
      <w:tr w:rsidR="009416B5" w:rsidRPr="007A36B4" w14:paraId="474740EA" w14:textId="77777777" w:rsidTr="00341E82">
        <w:tc>
          <w:tcPr>
            <w:tcW w:w="4536" w:type="dxa"/>
          </w:tcPr>
          <w:p w14:paraId="3E16E0FD" w14:textId="77777777" w:rsidR="009416B5" w:rsidRPr="007A36B4" w:rsidRDefault="009416B5" w:rsidP="00341E82">
            <w:pPr>
              <w:jc w:val="both"/>
              <w:rPr>
                <w:rFonts w:ascii="Lora" w:hAnsi="Lora" w:cstheme="minorHAnsi"/>
                <w:lang w:val="en-GB"/>
              </w:rPr>
            </w:pPr>
          </w:p>
        </w:tc>
        <w:tc>
          <w:tcPr>
            <w:tcW w:w="4111" w:type="dxa"/>
            <w:shd w:val="clear" w:color="auto" w:fill="BDD6EE" w:themeFill="accent5" w:themeFillTint="66"/>
          </w:tcPr>
          <w:p w14:paraId="0EC2190A" w14:textId="77777777" w:rsidR="009416B5" w:rsidRPr="007A36B4" w:rsidRDefault="009416B5" w:rsidP="00341E82">
            <w:pPr>
              <w:jc w:val="both"/>
              <w:rPr>
                <w:rFonts w:ascii="Lora" w:hAnsi="Lora" w:cstheme="minorHAnsi"/>
                <w:lang w:val="en-GB"/>
              </w:rPr>
            </w:pPr>
            <w:r w:rsidRPr="007A36B4">
              <w:rPr>
                <w:rFonts w:ascii="Lora" w:hAnsi="Lora" w:cstheme="minorHAnsi"/>
                <w:lang w:val="en-GB"/>
              </w:rPr>
              <w:t>This resolution modifies the resolution ECO 1/88</w:t>
            </w:r>
          </w:p>
        </w:tc>
      </w:tr>
    </w:tbl>
    <w:p w14:paraId="13321D04" w14:textId="77777777" w:rsidR="009416B5" w:rsidRPr="007A36B4" w:rsidRDefault="009416B5">
      <w:pPr>
        <w:rPr>
          <w:rFonts w:ascii="Lora" w:hAnsi="Lora"/>
          <w:lang w:val="en-GB"/>
        </w:rPr>
      </w:pPr>
    </w:p>
    <w:sectPr w:rsidR="009416B5" w:rsidRPr="007A36B4" w:rsidSect="008A7F6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0CCC1" w14:textId="77777777" w:rsidR="00FA6C4D" w:rsidRDefault="00FA6C4D" w:rsidP="00B51670">
      <w:pPr>
        <w:spacing w:after="0" w:line="240" w:lineRule="auto"/>
      </w:pPr>
      <w:r>
        <w:separator/>
      </w:r>
    </w:p>
  </w:endnote>
  <w:endnote w:type="continuationSeparator" w:id="0">
    <w:p w14:paraId="088BCC6F" w14:textId="77777777" w:rsidR="00FA6C4D" w:rsidRDefault="00FA6C4D" w:rsidP="00B51670">
      <w:pPr>
        <w:spacing w:after="0" w:line="240" w:lineRule="auto"/>
      </w:pPr>
      <w:r>
        <w:continuationSeparator/>
      </w:r>
    </w:p>
  </w:endnote>
  <w:endnote w:type="continuationNotice" w:id="1">
    <w:p w14:paraId="709102F8" w14:textId="77777777" w:rsidR="00FA6C4D" w:rsidRDefault="00FA6C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swald">
    <w:charset w:val="00"/>
    <w:family w:val="auto"/>
    <w:pitch w:val="variable"/>
    <w:sig w:usb0="2000020F" w:usb1="00000000" w:usb2="00000000" w:usb3="00000000" w:csb0="00000197" w:csb1="00000000"/>
  </w:font>
  <w:font w:name="Lora">
    <w:charset w:val="00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5B11C" w14:textId="77777777" w:rsidR="00AD481A" w:rsidRDefault="00AD481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1356033"/>
      <w:docPartObj>
        <w:docPartGallery w:val="Page Numbers (Bottom of Page)"/>
        <w:docPartUnique/>
      </w:docPartObj>
    </w:sdtPr>
    <w:sdtEndPr/>
    <w:sdtContent>
      <w:p w14:paraId="4DD14406" w14:textId="77777777" w:rsidR="00B51670" w:rsidRDefault="00B51670" w:rsidP="00B51670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6AA91B9" w14:textId="77777777" w:rsidR="00B51670" w:rsidRDefault="00B51670" w:rsidP="00B51670">
    <w:pPr>
      <w:pStyle w:val="Pieddepage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BC9A8" w14:textId="77777777" w:rsidR="00B51670" w:rsidRDefault="00B51670" w:rsidP="00B51670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  <w:p w14:paraId="028C0C98" w14:textId="77777777" w:rsidR="00B51670" w:rsidRDefault="00B5167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1AE3A" w14:textId="77777777" w:rsidR="00FA6C4D" w:rsidRDefault="00FA6C4D" w:rsidP="00B51670">
      <w:pPr>
        <w:spacing w:after="0" w:line="240" w:lineRule="auto"/>
      </w:pPr>
      <w:r>
        <w:separator/>
      </w:r>
    </w:p>
  </w:footnote>
  <w:footnote w:type="continuationSeparator" w:id="0">
    <w:p w14:paraId="5FC833AB" w14:textId="77777777" w:rsidR="00FA6C4D" w:rsidRDefault="00FA6C4D" w:rsidP="00B51670">
      <w:pPr>
        <w:spacing w:after="0" w:line="240" w:lineRule="auto"/>
      </w:pPr>
      <w:r>
        <w:continuationSeparator/>
      </w:r>
    </w:p>
  </w:footnote>
  <w:footnote w:type="continuationNotice" w:id="1">
    <w:p w14:paraId="3CC4F15E" w14:textId="77777777" w:rsidR="00FA6C4D" w:rsidRDefault="00FA6C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FFB9" w14:textId="77777777" w:rsidR="00AD481A" w:rsidRDefault="00AD481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3294C" w14:textId="3B7BE384" w:rsidR="00B51670" w:rsidRPr="00EA6E40" w:rsidRDefault="00B51670" w:rsidP="00B51670">
    <w:pPr>
      <w:pStyle w:val="Textebrut"/>
      <w:jc w:val="right"/>
      <w:rPr>
        <w:rFonts w:ascii="Lora" w:hAnsi="Lora" w:cs="Calibri"/>
        <w:sz w:val="22"/>
        <w:szCs w:val="22"/>
        <w:lang w:val="en-GB"/>
      </w:rPr>
    </w:pPr>
    <w:r w:rsidRPr="00EA6E40">
      <w:rPr>
        <w:rFonts w:ascii="Lora" w:hAnsi="Lora" w:cs="Calibri"/>
        <w:sz w:val="22"/>
        <w:szCs w:val="22"/>
        <w:lang w:val="en-GB"/>
      </w:rPr>
      <w:t>ECO-DROCON 21-696 Et</w:t>
    </w:r>
    <w:r w:rsidR="00B24C08" w:rsidRPr="00EA6E40">
      <w:rPr>
        <w:rFonts w:ascii="Lora" w:hAnsi="Lora" w:cs="Calibri"/>
        <w:sz w:val="22"/>
        <w:szCs w:val="22"/>
        <w:lang w:val="en-GB"/>
      </w:rPr>
      <w:t>7</w:t>
    </w:r>
  </w:p>
  <w:p w14:paraId="30C42EBD" w14:textId="53806FAC" w:rsidR="00B51670" w:rsidRPr="00EA6E40" w:rsidRDefault="00B51670" w:rsidP="00B51670">
    <w:pPr>
      <w:pStyle w:val="En-tte"/>
      <w:jc w:val="right"/>
      <w:rPr>
        <w:rFonts w:ascii="Lora" w:hAnsi="Lora"/>
        <w:i/>
      </w:rPr>
    </w:pPr>
    <w:r w:rsidRPr="00EA6E40">
      <w:rPr>
        <w:rFonts w:ascii="Lora" w:hAnsi="Lora"/>
        <w:i/>
      </w:rPr>
      <w:t xml:space="preserve">Version </w:t>
    </w:r>
    <w:r w:rsidR="00B24C08" w:rsidRPr="00EA6E40">
      <w:rPr>
        <w:rFonts w:ascii="Lora" w:hAnsi="Lora"/>
        <w:i/>
      </w:rPr>
      <w:t>10</w:t>
    </w:r>
    <w:r w:rsidRPr="00EA6E40">
      <w:rPr>
        <w:rFonts w:ascii="Lora" w:hAnsi="Lora"/>
        <w:i/>
      </w:rPr>
      <w:t>/202</w:t>
    </w:r>
    <w:r w:rsidR="00B24C08" w:rsidRPr="00EA6E40">
      <w:rPr>
        <w:rFonts w:ascii="Lora" w:hAnsi="Lora"/>
        <w:i/>
      </w:rPr>
      <w:t>4</w:t>
    </w:r>
  </w:p>
  <w:p w14:paraId="0D2CA421" w14:textId="77777777" w:rsidR="00B51670" w:rsidRDefault="00B5167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DB91" w14:textId="0148EB76" w:rsidR="00B51670" w:rsidRPr="00EA6E40" w:rsidRDefault="00B51670" w:rsidP="00B51670">
    <w:pPr>
      <w:pStyle w:val="Textebrut"/>
      <w:jc w:val="right"/>
      <w:rPr>
        <w:rFonts w:ascii="Lora" w:hAnsi="Lora" w:cs="Calibri"/>
        <w:sz w:val="22"/>
        <w:szCs w:val="22"/>
        <w:lang w:val="en-GB"/>
      </w:rPr>
    </w:pPr>
    <w:r w:rsidRPr="00EA6E40">
      <w:rPr>
        <w:rFonts w:ascii="Lora" w:hAnsi="Lora" w:cs="Calibri"/>
        <w:sz w:val="22"/>
        <w:szCs w:val="22"/>
        <w:lang w:val="en-GB"/>
      </w:rPr>
      <w:t>ECO-DROCON 21-696 Et</w:t>
    </w:r>
    <w:r w:rsidR="00B24C08" w:rsidRPr="00EA6E40">
      <w:rPr>
        <w:rFonts w:ascii="Lora" w:hAnsi="Lora" w:cs="Calibri"/>
        <w:sz w:val="22"/>
        <w:szCs w:val="22"/>
        <w:lang w:val="en-GB"/>
      </w:rPr>
      <w:t>7</w:t>
    </w:r>
  </w:p>
  <w:p w14:paraId="66426582" w14:textId="71CEFA64" w:rsidR="00B51670" w:rsidRPr="00EA6E40" w:rsidRDefault="00B51670" w:rsidP="00B51670">
    <w:pPr>
      <w:pStyle w:val="En-tte"/>
      <w:jc w:val="right"/>
      <w:rPr>
        <w:rFonts w:ascii="Lora" w:hAnsi="Lora"/>
        <w:i/>
      </w:rPr>
    </w:pPr>
    <w:r w:rsidRPr="00EA6E40">
      <w:rPr>
        <w:rFonts w:ascii="Lora" w:hAnsi="Lora"/>
        <w:i/>
      </w:rPr>
      <w:t xml:space="preserve">Version </w:t>
    </w:r>
    <w:r w:rsidR="00B24C08" w:rsidRPr="00EA6E40">
      <w:rPr>
        <w:rFonts w:ascii="Lora" w:hAnsi="Lora"/>
        <w:i/>
      </w:rPr>
      <w:t>10</w:t>
    </w:r>
    <w:r w:rsidRPr="00EA6E40">
      <w:rPr>
        <w:rFonts w:ascii="Lora" w:hAnsi="Lora"/>
        <w:i/>
      </w:rPr>
      <w:t>/202</w:t>
    </w:r>
    <w:r w:rsidR="00B24C08" w:rsidRPr="00EA6E40">
      <w:rPr>
        <w:rFonts w:ascii="Lora" w:hAnsi="Lora"/>
        <w:i/>
      </w:rPr>
      <w:t>4</w:t>
    </w:r>
  </w:p>
  <w:p w14:paraId="1C3D15E1" w14:textId="77777777" w:rsidR="00B51670" w:rsidRPr="00EA6E40" w:rsidRDefault="00B51670" w:rsidP="00B51670">
    <w:pPr>
      <w:pStyle w:val="En-tte"/>
      <w:jc w:val="right"/>
      <w:rPr>
        <w:rFonts w:ascii="Lora" w:hAnsi="Lora"/>
        <w:i/>
      </w:rPr>
    </w:pPr>
  </w:p>
  <w:tbl>
    <w:tblPr>
      <w:tblW w:w="923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"/>
      <w:gridCol w:w="1026"/>
      <w:gridCol w:w="1026"/>
      <w:gridCol w:w="1026"/>
      <w:gridCol w:w="1027"/>
      <w:gridCol w:w="1026"/>
      <w:gridCol w:w="1026"/>
      <w:gridCol w:w="1026"/>
      <w:gridCol w:w="1027"/>
    </w:tblGrid>
    <w:tr w:rsidR="00B51670" w:rsidRPr="00AD481A" w14:paraId="6ED7472D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E7D108F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position w:val="-5"/>
              <w:sz w:val="20"/>
              <w:szCs w:val="20"/>
            </w:rPr>
            <w:t>STEP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EF12427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1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404BCB8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2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4C89C70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3</w:t>
          </w: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F263400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4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7A5D07F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5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F3C7294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6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D045475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7</w:t>
          </w: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A28EB49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position w:val="-5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8</w:t>
          </w:r>
        </w:p>
      </w:tc>
    </w:tr>
    <w:tr w:rsidR="00B51670" w:rsidRPr="00AD481A" w14:paraId="3029A9AB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3D28C9F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DATE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F699297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0299B1A" w14:textId="130422AB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03/2021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72FEBAA" w14:textId="5CD988AB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10/2021</w:t>
          </w: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470D3F2" w14:textId="4CA1D761" w:rsidR="00B51670" w:rsidRPr="00EA6E40" w:rsidRDefault="00510E0C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05/2022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77F8FB3" w14:textId="39F85B53" w:rsidR="00B51670" w:rsidRPr="00EA6E40" w:rsidRDefault="00510E0C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10/2022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3B8CD58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3AAAAF9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156DCBA1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</w:tr>
    <w:tr w:rsidR="00B51670" w:rsidRPr="00AD481A" w14:paraId="51117C54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95ED837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699A0AD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EB5FFDC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7259429" w14:textId="2259528B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7B19853" w14:textId="037D5C51" w:rsidR="00B51670" w:rsidRPr="00EA6E40" w:rsidRDefault="00F12F54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03/2023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32D812C" w14:textId="1746ED56" w:rsidR="00B51670" w:rsidRPr="00EA6E40" w:rsidRDefault="00F12F54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03/2023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3C1205F" w14:textId="2346C936" w:rsidR="00B51670" w:rsidRPr="00EA6E40" w:rsidRDefault="00B24C08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04/2024</w:t>
          </w: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3039683" w14:textId="3E030879" w:rsidR="00B51670" w:rsidRPr="00EA6E40" w:rsidRDefault="00B24C08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  <w:r w:rsidRPr="00EA6E40">
            <w:rPr>
              <w:rFonts w:ascii="Lora" w:hAnsi="Lora"/>
              <w:sz w:val="20"/>
              <w:szCs w:val="20"/>
            </w:rPr>
            <w:t>10/2024</w:t>
          </w: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BB1DA53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</w:tr>
    <w:tr w:rsidR="00B51670" w:rsidRPr="00AD481A" w14:paraId="44CA6A4E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6DB8054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DD6D9E0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6714B87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36B5C21" w14:textId="57C06D9F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8BA088C" w14:textId="58F9CEA1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3E6C34B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6DEE551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01042CC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ADF54F0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</w:tr>
    <w:tr w:rsidR="00B51670" w:rsidRPr="00AD481A" w14:paraId="1C748D74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45D1A7D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2CDF352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1FC5652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8887735" w14:textId="0C3A3F69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65209EB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145331CC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6AA2624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58861469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2AC9D81D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</w:tr>
    <w:tr w:rsidR="00B51670" w:rsidRPr="00AD481A" w14:paraId="3C306636" w14:textId="77777777" w:rsidTr="00287F47">
      <w:trPr>
        <w:trHeight w:hRule="exact" w:val="227"/>
        <w:jc w:val="center"/>
      </w:trPr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3E636878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6AB8875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7D9EA134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499B4AA4" w14:textId="319F6009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58B4E11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2C3ECFDF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00B974DC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6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</w:tcPr>
        <w:p w14:paraId="65C4BD0A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  <w:tc>
        <w:tcPr>
          <w:tcW w:w="102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47950D6A" w14:textId="77777777" w:rsidR="00B51670" w:rsidRPr="00EA6E40" w:rsidRDefault="00B51670" w:rsidP="00B51670">
          <w:pPr>
            <w:snapToGrid w:val="0"/>
            <w:jc w:val="center"/>
            <w:rPr>
              <w:rFonts w:ascii="Lora" w:hAnsi="Lora"/>
              <w:sz w:val="20"/>
              <w:szCs w:val="20"/>
            </w:rPr>
          </w:pPr>
        </w:p>
      </w:tc>
    </w:tr>
  </w:tbl>
  <w:p w14:paraId="00327406" w14:textId="77777777" w:rsidR="00B51670" w:rsidRDefault="00B5167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D71"/>
    <w:multiLevelType w:val="hybridMultilevel"/>
    <w:tmpl w:val="E44CD8A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DF56689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F5BA6"/>
    <w:multiLevelType w:val="hybridMultilevel"/>
    <w:tmpl w:val="E44CD8A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DF56689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531F66"/>
    <w:multiLevelType w:val="hybridMultilevel"/>
    <w:tmpl w:val="74F2FF22"/>
    <w:lvl w:ilvl="0" w:tplc="860A9B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E34A45"/>
    <w:multiLevelType w:val="hybridMultilevel"/>
    <w:tmpl w:val="F9CCA64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780BF8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C3F3F"/>
    <w:multiLevelType w:val="hybridMultilevel"/>
    <w:tmpl w:val="84DEBE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366638">
    <w:abstractNumId w:val="0"/>
  </w:num>
  <w:num w:numId="2" w16cid:durableId="748964194">
    <w:abstractNumId w:val="4"/>
  </w:num>
  <w:num w:numId="3" w16cid:durableId="1367947278">
    <w:abstractNumId w:val="1"/>
  </w:num>
  <w:num w:numId="4" w16cid:durableId="376973353">
    <w:abstractNumId w:val="2"/>
  </w:num>
  <w:num w:numId="5" w16cid:durableId="21021437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EyMTIwsDQ0N7AwMTRW0lEKTi0uzszPAykwrgUAA7IXCSwAAAA="/>
  </w:docVars>
  <w:rsids>
    <w:rsidRoot w:val="009416B5"/>
    <w:rsid w:val="000020E5"/>
    <w:rsid w:val="0004384F"/>
    <w:rsid w:val="00046241"/>
    <w:rsid w:val="000733FE"/>
    <w:rsid w:val="00076C1C"/>
    <w:rsid w:val="0008786E"/>
    <w:rsid w:val="000C7114"/>
    <w:rsid w:val="000E2043"/>
    <w:rsid w:val="00104DFF"/>
    <w:rsid w:val="001215E9"/>
    <w:rsid w:val="00132EBC"/>
    <w:rsid w:val="0015030F"/>
    <w:rsid w:val="001514A8"/>
    <w:rsid w:val="00177E2C"/>
    <w:rsid w:val="00180E9B"/>
    <w:rsid w:val="001A6A68"/>
    <w:rsid w:val="001B5E99"/>
    <w:rsid w:val="00244EF0"/>
    <w:rsid w:val="002A55CB"/>
    <w:rsid w:val="003272E7"/>
    <w:rsid w:val="003462B6"/>
    <w:rsid w:val="00347D98"/>
    <w:rsid w:val="00370D99"/>
    <w:rsid w:val="0039578C"/>
    <w:rsid w:val="003C7A7E"/>
    <w:rsid w:val="00402130"/>
    <w:rsid w:val="004061A1"/>
    <w:rsid w:val="0041308A"/>
    <w:rsid w:val="004537C1"/>
    <w:rsid w:val="00494229"/>
    <w:rsid w:val="004A7C3F"/>
    <w:rsid w:val="00510E0C"/>
    <w:rsid w:val="0053626A"/>
    <w:rsid w:val="00582768"/>
    <w:rsid w:val="005A26BC"/>
    <w:rsid w:val="005E324D"/>
    <w:rsid w:val="0062315A"/>
    <w:rsid w:val="00696C5E"/>
    <w:rsid w:val="006A0615"/>
    <w:rsid w:val="00737294"/>
    <w:rsid w:val="0074530B"/>
    <w:rsid w:val="00764265"/>
    <w:rsid w:val="00764546"/>
    <w:rsid w:val="007A36B4"/>
    <w:rsid w:val="00801047"/>
    <w:rsid w:val="00803A00"/>
    <w:rsid w:val="0081045F"/>
    <w:rsid w:val="0088373F"/>
    <w:rsid w:val="0088545F"/>
    <w:rsid w:val="008911EF"/>
    <w:rsid w:val="008A7F64"/>
    <w:rsid w:val="008E71C6"/>
    <w:rsid w:val="00905C82"/>
    <w:rsid w:val="00934153"/>
    <w:rsid w:val="00934628"/>
    <w:rsid w:val="009416B5"/>
    <w:rsid w:val="00950FA6"/>
    <w:rsid w:val="0099299D"/>
    <w:rsid w:val="00997D8B"/>
    <w:rsid w:val="009B1691"/>
    <w:rsid w:val="009B56C6"/>
    <w:rsid w:val="009E411B"/>
    <w:rsid w:val="00A307F3"/>
    <w:rsid w:val="00A81C76"/>
    <w:rsid w:val="00AC5057"/>
    <w:rsid w:val="00AD481A"/>
    <w:rsid w:val="00AF23AC"/>
    <w:rsid w:val="00B164D3"/>
    <w:rsid w:val="00B24C08"/>
    <w:rsid w:val="00B51670"/>
    <w:rsid w:val="00B60237"/>
    <w:rsid w:val="00C121ED"/>
    <w:rsid w:val="00C80BAB"/>
    <w:rsid w:val="00CA3866"/>
    <w:rsid w:val="00D20F03"/>
    <w:rsid w:val="00D57362"/>
    <w:rsid w:val="00E55957"/>
    <w:rsid w:val="00E855AC"/>
    <w:rsid w:val="00EA0B2A"/>
    <w:rsid w:val="00EA6E40"/>
    <w:rsid w:val="00EB2209"/>
    <w:rsid w:val="00EC5FEE"/>
    <w:rsid w:val="00EF1BB1"/>
    <w:rsid w:val="00EF3454"/>
    <w:rsid w:val="00EF3B63"/>
    <w:rsid w:val="00F12F54"/>
    <w:rsid w:val="00F30D35"/>
    <w:rsid w:val="00F52D91"/>
    <w:rsid w:val="00F8730C"/>
    <w:rsid w:val="00FA6C4D"/>
    <w:rsid w:val="00FC52C5"/>
    <w:rsid w:val="00FD0303"/>
    <w:rsid w:val="5E8E3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C22E"/>
  <w15:chartTrackingRefBased/>
  <w15:docId w15:val="{0790BF94-D381-4956-974B-B5FE0B9A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41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9416B5"/>
    <w:pPr>
      <w:ind w:left="720"/>
      <w:contextualSpacing/>
    </w:pPr>
  </w:style>
  <w:style w:type="paragraph" w:styleId="Textebrut">
    <w:name w:val="Plain Text"/>
    <w:basedOn w:val="Normal"/>
    <w:link w:val="TextebrutCar"/>
    <w:rsid w:val="009416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TextebrutCar">
    <w:name w:val="Texte brut Car"/>
    <w:basedOn w:val="Policepardfaut"/>
    <w:link w:val="Textebrut"/>
    <w:rsid w:val="009416B5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51670"/>
  </w:style>
  <w:style w:type="paragraph" w:styleId="Pieddepage">
    <w:name w:val="footer"/>
    <w:basedOn w:val="Normal"/>
    <w:link w:val="PieddepageCar"/>
    <w:uiPriority w:val="99"/>
    <w:unhideWhenUsed/>
    <w:rsid w:val="00B51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51670"/>
  </w:style>
  <w:style w:type="paragraph" w:styleId="Rvision">
    <w:name w:val="Revision"/>
    <w:hidden/>
    <w:uiPriority w:val="99"/>
    <w:semiHidden/>
    <w:rsid w:val="00B164D3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4021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0213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0213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21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02130"/>
    <w:rPr>
      <w:b/>
      <w:bCs/>
      <w:sz w:val="20"/>
      <w:szCs w:val="20"/>
    </w:rPr>
  </w:style>
  <w:style w:type="character" w:styleId="Accentuationintense">
    <w:name w:val="Intense Emphasis"/>
    <w:aliases w:val="Tableau italique WARNING"/>
    <w:basedOn w:val="Policepardfaut"/>
    <w:uiPriority w:val="21"/>
    <w:qFormat/>
    <w:rsid w:val="007A36B4"/>
    <w:rPr>
      <w:i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SpaceDocuments" ma:contentTypeID="0x010100B75F8B82DC649C4C8F08FB2AC33C700300D9290A88D67F5649AE280DF0ACD174B6" ma:contentTypeVersion="26" ma:contentTypeDescription="" ma:contentTypeScope="" ma:versionID="6c0334beb906ba18ca9ad5308d0b49a1">
  <xsd:schema xmlns:xsd="http://www.w3.org/2001/XMLSchema" xmlns:xs="http://www.w3.org/2001/XMLSchema" xmlns:p="http://schemas.microsoft.com/office/2006/metadata/properties" xmlns:ns2="4bb74870-d36b-4b1b-9cf5-6ae27179b6d3" xmlns:ns3="eaed0734-bccc-4bba-92a3-a85fef71bc30" targetNamespace="http://schemas.microsoft.com/office/2006/metadata/properties" ma:root="true" ma:fieldsID="714adb55b2918ae5a959d868a02bdcfb" ns2:_="" ns3:_="">
    <xsd:import namespace="4bb74870-d36b-4b1b-9cf5-6ae27179b6d3"/>
    <xsd:import namespace="eaed0734-bccc-4bba-92a3-a85fef71bc30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Step" minOccurs="0"/>
                <xsd:element ref="ns2:DocumentType1" minOccurs="0"/>
                <xsd:element ref="ns2:Date1" minOccurs="0"/>
                <xsd:element ref="ns2:Languages" minOccurs="0"/>
                <xsd:element ref="ns2:History" minOccurs="0"/>
                <xsd:element ref="ns2:StatutoryBodyName" minOccurs="0"/>
                <xsd:element ref="ns2:Meeting" minOccurs="0"/>
                <xsd:element ref="ns2:ResolutionCode" minOccurs="0"/>
                <xsd:element ref="ns2:Year" minOccurs="0"/>
                <xsd:element ref="ns2:OIVCountry" minOccurs="0"/>
                <xsd:element ref="ns2:ProjectPresentationReference" minOccurs="0"/>
                <xsd:element ref="ns2:ResolutionDocParentRef" minOccurs="0"/>
                <xsd:element ref="ns3:Duplicated" minOccurs="0"/>
                <xsd:element ref="ns2:IdResolutionTask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b74870-d36b-4b1b-9cf5-6ae27179b6d3" elementFormDefault="qualified">
    <xsd:import namespace="http://schemas.microsoft.com/office/2006/documentManagement/types"/>
    <xsd:import namespace="http://schemas.microsoft.com/office/infopath/2007/PartnerControls"/>
    <xsd:element name="Reference" ma:index="2" nillable="true" ma:displayName="Reference" ma:indexed="true" ma:internalName="Reference" ma:readOnly="false">
      <xsd:simpleType>
        <xsd:restriction base="dms:Text">
          <xsd:maxLength value="255"/>
        </xsd:restriction>
      </xsd:simpleType>
    </xsd:element>
    <xsd:element name="Step" ma:index="3" nillable="true" ma:displayName="Step" ma:internalName="Step" ma:readOnly="false" ma:percentage="FALSE">
      <xsd:simpleType>
        <xsd:restriction base="dms:Number"/>
      </xsd:simpleType>
    </xsd:element>
    <xsd:element name="DocumentType1" ma:index="4" nillable="true" ma:displayName="DocumentType" ma:default="390" ma:format="Dropdown" ma:internalName="DocumentType1" ma:readOnly="false">
      <xsd:simpleType>
        <xsd:restriction base="dms:Choice">
          <xsd:enumeration value="390"/>
          <xsd:enumeration value="391"/>
          <xsd:enumeration value="392"/>
          <xsd:enumeration value="393"/>
          <xsd:enumeration value="394"/>
          <xsd:enumeration value="395"/>
          <xsd:enumeration value="396"/>
          <xsd:enumeration value="397"/>
          <xsd:enumeration value="398"/>
          <xsd:enumeration value="399"/>
          <xsd:enumeration value="400"/>
        </xsd:restriction>
      </xsd:simpleType>
    </xsd:element>
    <xsd:element name="Date1" ma:index="5" nillable="true" ma:displayName="Date" ma:format="DateOnly" ma:indexed="true" ma:internalName="Date1" ma:readOnly="false">
      <xsd:simpleType>
        <xsd:restriction base="dms:DateTime"/>
      </xsd:simpleType>
    </xsd:element>
    <xsd:element name="Languages" ma:index="6" nillable="true" ma:displayName="Languages" ma:default="8" ma:format="Dropdown" ma:internalName="Languages" ma:readOnly="false">
      <xsd:simpleType>
        <xsd:restriction base="dms:Choice">
          <xsd:enumeration value="8"/>
          <xsd:enumeration value="9"/>
          <xsd:enumeration value="10"/>
          <xsd:enumeration value="11"/>
          <xsd:enumeration value="12"/>
          <xsd:enumeration value="13"/>
        </xsd:restriction>
      </xsd:simpleType>
    </xsd:element>
    <xsd:element name="History" ma:index="7" nillable="true" ma:displayName="History" ma:internalName="History" ma:readOnly="false">
      <xsd:simpleType>
        <xsd:restriction base="dms:Note">
          <xsd:maxLength value="255"/>
        </xsd:restriction>
      </xsd:simpleType>
    </xsd:element>
    <xsd:element name="StatutoryBodyName" ma:index="8" nillable="true" ma:displayName="Statutory Body Name" ma:indexed="true" ma:internalName="StatutoryBodyName" ma:readOnly="false">
      <xsd:simpleType>
        <xsd:restriction base="dms:Text">
          <xsd:maxLength value="255"/>
        </xsd:restriction>
      </xsd:simpleType>
    </xsd:element>
    <xsd:element name="Meeting" ma:index="9" nillable="true" ma:displayName="Meeting" ma:internalName="Meeting" ma:readOnly="false">
      <xsd:simpleType>
        <xsd:restriction base="dms:Text">
          <xsd:maxLength value="255"/>
        </xsd:restriction>
      </xsd:simpleType>
    </xsd:element>
    <xsd:element name="ResolutionCode" ma:index="10" nillable="true" ma:displayName="ResolutionCode" ma:indexed="true" ma:internalName="ResolutionCode" ma:readOnly="false">
      <xsd:simpleType>
        <xsd:restriction base="dms:Text">
          <xsd:maxLength value="255"/>
        </xsd:restriction>
      </xsd:simpleType>
    </xsd:element>
    <xsd:element name="Year" ma:index="11" nillable="true" ma:displayName="Year" ma:internalName="Year" ma:readOnly="false">
      <xsd:simpleType>
        <xsd:restriction base="dms:Text">
          <xsd:maxLength value="255"/>
        </xsd:restriction>
      </xsd:simpleType>
    </xsd:element>
    <xsd:element name="OIVCountry" ma:index="12" nillable="true" ma:displayName="Country" ma:indexed="true" ma:internalName="OIVCountry" ma:readOnly="false">
      <xsd:simpleType>
        <xsd:restriction base="dms:Text">
          <xsd:maxLength value="255"/>
        </xsd:restriction>
      </xsd:simpleType>
    </xsd:element>
    <xsd:element name="ProjectPresentationReference" ma:index="13" nillable="true" ma:displayName="ProjectPresentationReference" ma:internalName="ProjectPresentationReference" ma:readOnly="false">
      <xsd:simpleType>
        <xsd:restriction base="dms:Text">
          <xsd:maxLength value="255"/>
        </xsd:restriction>
      </xsd:simpleType>
    </xsd:element>
    <xsd:element name="ResolutionDocParentRef" ma:index="14" nillable="true" ma:displayName="ResolutionDocParentRef" ma:indexed="true" ma:internalName="ResolutionDocParentRef" ma:readOnly="false">
      <xsd:simpleType>
        <xsd:restriction base="dms:Text">
          <xsd:maxLength value="255"/>
        </xsd:restriction>
      </xsd:simpleType>
    </xsd:element>
    <xsd:element name="IdResolutionTask" ma:index="16" nillable="true" ma:displayName="IdResolutionTask" ma:indexed="true" ma:internalName="IdResolutionTask" ma:readOnly="false">
      <xsd:simpleType>
        <xsd:restriction base="dms:Text">
          <xsd:maxLength value="255"/>
        </xsd:restriction>
      </xsd:simpleType>
    </xsd:element>
    <xsd:element name="SharedWithUsers" ma:index="3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d0734-bccc-4bba-92a3-a85fef71bc30" elementFormDefault="qualified">
    <xsd:import namespace="http://schemas.microsoft.com/office/2006/documentManagement/types"/>
    <xsd:import namespace="http://schemas.microsoft.com/office/infopath/2007/PartnerControls"/>
    <xsd:element name="Duplicated" ma:index="15" nillable="true" ma:displayName="Duplicated" ma:default="0" ma:indexed="true" ma:internalName="Duplicated" ma:readOnly="false">
      <xsd:simpleType>
        <xsd:restriction base="dms:Boolean"/>
      </xsd:simpleType>
    </xsd:element>
    <xsd:element name="MediaServiceMetadata" ma:index="2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toryBodyName xmlns="4bb74870-d36b-4b1b-9cf5-6ae27179b6d3">57</StatutoryBodyName>
    <Duplicated xmlns="eaed0734-bccc-4bba-92a3-a85fef71bc30">false</Duplicated>
    <OIVCountry xmlns="4bb74870-d36b-4b1b-9cf5-6ae27179b6d3" xsi:nil="true"/>
    <Languages xmlns="4bb74870-d36b-4b1b-9cf5-6ae27179b6d3">9</Languages>
    <Year xmlns="4bb74870-d36b-4b1b-9cf5-6ae27179b6d3">2024</Year>
    <History xmlns="4bb74870-d36b-4b1b-9cf5-6ae27179b6d3" xsi:nil="true"/>
    <IdResolutionTask xmlns="4bb74870-d36b-4b1b-9cf5-6ae27179b6d3" xsi:nil="true"/>
    <ResolutionCode xmlns="4bb74870-d36b-4b1b-9cf5-6ae27179b6d3">ECO-DROCON 21-696</ResolutionCode>
    <ProjectPresentationReference xmlns="4bb74870-d36b-4b1b-9cf5-6ae27179b6d3" xsi:nil="true"/>
    <DocumentType1 xmlns="4bb74870-d36b-4b1b-9cf5-6ae27179b6d3">393</DocumentType1>
    <Date1 xmlns="4bb74870-d36b-4b1b-9cf5-6ae27179b6d3">2024-07-03T15:16:22+00:00</Date1>
    <Step xmlns="4bb74870-d36b-4b1b-9cf5-6ae27179b6d3">7</Step>
    <Meeting xmlns="4bb74870-d36b-4b1b-9cf5-6ae27179b6d3">158</Meeting>
    <ResolutionDocParentRef xmlns="4bb74870-d36b-4b1b-9cf5-6ae27179b6d3" xsi:nil="true"/>
    <Reference xmlns="4bb74870-d36b-4b1b-9cf5-6ae27179b6d3">ECO-DROCON 21-696_Et7_2024</Reference>
  </documentManagement>
</p:properties>
</file>

<file path=customXml/itemProps1.xml><?xml version="1.0" encoding="utf-8"?>
<ds:datastoreItem xmlns:ds="http://schemas.openxmlformats.org/officeDocument/2006/customXml" ds:itemID="{07507A15-12FC-4840-A7F4-140BE543D1E5}"/>
</file>

<file path=customXml/itemProps2.xml><?xml version="1.0" encoding="utf-8"?>
<ds:datastoreItem xmlns:ds="http://schemas.openxmlformats.org/officeDocument/2006/customXml" ds:itemID="{8AA4801A-D288-4418-9526-BBF46DC327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DB2895-F1BA-4952-971D-466B4AE76C3E}">
  <ds:schemaRefs>
    <ds:schemaRef ds:uri="http://schemas.microsoft.com/office/2006/metadata/properties"/>
    <ds:schemaRef ds:uri="http://schemas.microsoft.com/office/infopath/2007/PartnerControls"/>
    <ds:schemaRef ds:uri="4bb74870-d36b-4b1b-9cf5-6ae27179b6d3"/>
    <ds:schemaRef ds:uri="eaed0734-bccc-4bba-92a3-a85fef71bc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UPDATE OF THE INTERNATIONAL STANDARD FOR WINE LABELLING: VARIETAL NAME </vt:lpstr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Update of the international standard for wine labelling: varietal name </dc:title>
  <dc:subject/>
  <dc:creator>Tatiana Svinartchuk</dc:creator>
  <cp:keywords/>
  <dc:description/>
  <cp:lastModifiedBy>Mina Golubovic</cp:lastModifiedBy>
  <cp:revision>5</cp:revision>
  <dcterms:created xsi:type="dcterms:W3CDTF">2024-06-12T13:03:00Z</dcterms:created>
  <dcterms:modified xsi:type="dcterms:W3CDTF">2024-06-12T15:12:00Z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0x010100B75F8B82DC649C4C8F08FB2AC33C700300D9290A88D67F5649AE280DF0ACD174B6</vt:lpwstr>
  </property>
</Properties>
</file>