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7C27D" w14:textId="77777777" w:rsidR="00B94C9F" w:rsidRDefault="00B94C9F" w:rsidP="002C0187">
      <w:pPr>
        <w:pStyle w:val="LOGO"/>
      </w:pPr>
      <w:r>
        <w:drawing>
          <wp:inline distT="0" distB="0" distL="0" distR="0" wp14:anchorId="3DF43D51" wp14:editId="5DE11661">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5360A705" w14:textId="48F6CD0D" w:rsidR="00CC4911" w:rsidRPr="005E37DA" w:rsidRDefault="00E83346" w:rsidP="005E37DA">
      <w:pPr>
        <w:pStyle w:val="Heading1"/>
      </w:pPr>
      <w:r w:rsidRPr="005E37DA">
        <w:t xml:space="preserve">Opioid Overdose Anomaly Case Study: </w:t>
      </w:r>
      <w:r w:rsidRPr="005E37DA">
        <w:br/>
        <w:t>Olmsted County</w:t>
      </w:r>
    </w:p>
    <w:p w14:paraId="3FE7D887" w14:textId="6A74215E" w:rsidR="00E83346" w:rsidRPr="005E37DA" w:rsidRDefault="003034BF" w:rsidP="005E37DA">
      <w:pPr>
        <w:pStyle w:val="Heading2"/>
      </w:pPr>
      <w:r>
        <w:t>Overview</w:t>
      </w:r>
    </w:p>
    <w:p w14:paraId="1A6464CF" w14:textId="35E83017" w:rsidR="00DA07E5" w:rsidRPr="00DA07E5" w:rsidRDefault="00AF57EF" w:rsidP="00DA07E5">
      <w:pPr>
        <w:pStyle w:val="NormalLtBlueBackground"/>
        <w:rPr>
          <w:sz w:val="22"/>
        </w:rPr>
      </w:pPr>
      <w:r>
        <w:rPr>
          <w:sz w:val="22"/>
        </w:rPr>
        <w:t>Over a one-week period in November,</w:t>
      </w:r>
      <w:r w:rsidR="00DA07E5" w:rsidRPr="00DA07E5">
        <w:rPr>
          <w:sz w:val="22"/>
        </w:rPr>
        <w:t xml:space="preserve"> Olmsted County, specifically Rochester, experienced a significant increase in opioid overdoses, totaling nine cases over a five-day period, which surpassed both the moderate and severe thresholds</w:t>
      </w:r>
      <w:r w:rsidR="00DA07E5">
        <w:rPr>
          <w:sz w:val="22"/>
        </w:rPr>
        <w:t xml:space="preserve"> for a seven-day rolling period</w:t>
      </w:r>
      <w:r w:rsidR="00DA07E5" w:rsidRPr="00DA07E5">
        <w:rPr>
          <w:sz w:val="22"/>
        </w:rPr>
        <w:t>. The spike included one fatality linked to a mass casualty event involving multiple overdoses. This anomaly disproportionately impacted men, Black individuals, and people using opioids in private residences.</w:t>
      </w:r>
    </w:p>
    <w:p w14:paraId="187C0EED" w14:textId="511182AB" w:rsidR="00DA07E5" w:rsidRPr="00DA07E5" w:rsidRDefault="00DA07E5" w:rsidP="00DA07E5">
      <w:pPr>
        <w:pStyle w:val="NormalLtBlueBackground"/>
        <w:rPr>
          <w:sz w:val="22"/>
        </w:rPr>
      </w:pPr>
      <w:r w:rsidRPr="00DA07E5">
        <w:rPr>
          <w:b/>
          <w:bCs/>
          <w:sz w:val="22"/>
        </w:rPr>
        <w:t xml:space="preserve">As a result, the Minnesota Department of Health (MDH) issued a Tier 2 alert, </w:t>
      </w:r>
      <w:r w:rsidRPr="00DA07E5">
        <w:rPr>
          <w:rFonts w:eastAsia="Times New Roman"/>
          <w:b/>
          <w:bCs/>
          <w:sz w:val="22"/>
        </w:rPr>
        <w:t>prioritizing targeted response for at-risk groups and coordination among key partners.</w:t>
      </w:r>
    </w:p>
    <w:p w14:paraId="6977FE30" w14:textId="4E1EFBDB" w:rsidR="00BC3C66" w:rsidRDefault="00BC3C66" w:rsidP="00DA07E5">
      <w:pPr>
        <w:pStyle w:val="Heading2"/>
      </w:pPr>
      <w:r>
        <w:t>Background</w:t>
      </w:r>
    </w:p>
    <w:p w14:paraId="2766760D" w14:textId="77777777" w:rsidR="00DA07E5" w:rsidRDefault="003034BF" w:rsidP="00DA07E5">
      <w:pPr>
        <w:rPr>
          <w:rFonts w:eastAsia="Times New Roman"/>
          <w:sz w:val="22"/>
          <w:szCs w:val="20"/>
        </w:rPr>
      </w:pPr>
      <w:r w:rsidRPr="00DA07E5">
        <w:rPr>
          <w:rFonts w:eastAsia="Times New Roman"/>
          <w:sz w:val="22"/>
          <w:szCs w:val="20"/>
        </w:rPr>
        <w:t xml:space="preserve">A severe alert was triggered in Olmsted County after the number of overdose incidents surpassed the </w:t>
      </w:r>
      <w:r w:rsidR="00FE67ED" w:rsidRPr="00DA07E5">
        <w:rPr>
          <w:rFonts w:eastAsia="Times New Roman"/>
          <w:sz w:val="22"/>
          <w:szCs w:val="20"/>
        </w:rPr>
        <w:t xml:space="preserve">seven-day rolling </w:t>
      </w:r>
      <w:r w:rsidRPr="00DA07E5">
        <w:rPr>
          <w:rFonts w:eastAsia="Times New Roman"/>
          <w:sz w:val="22"/>
          <w:szCs w:val="20"/>
        </w:rPr>
        <w:t>severe threshold.</w:t>
      </w:r>
      <w:r w:rsidR="00500079" w:rsidRPr="00DA07E5">
        <w:rPr>
          <w:rFonts w:eastAsia="Times New Roman"/>
          <w:sz w:val="22"/>
          <w:szCs w:val="20"/>
        </w:rPr>
        <w:t xml:space="preserve"> </w:t>
      </w:r>
      <w:r w:rsidR="00DA07E5" w:rsidRPr="00DA07E5">
        <w:rPr>
          <w:rFonts w:eastAsia="Times New Roman"/>
          <w:sz w:val="22"/>
          <w:szCs w:val="20"/>
        </w:rPr>
        <w:t>Following the alert, MDH conducted an in-depth data review, notifying local partners with “For Information Only” communications to limit dissemination and prevent public concern. Local public health informed their Overdose Spike Response Team (OSRT) of the ongoing review and encouraged reporting relevant information back to MDH. The Tier 2 alert was recommended based on:</w:t>
      </w:r>
    </w:p>
    <w:p w14:paraId="6DB626DB" w14:textId="45A6B47A" w:rsidR="003034BF" w:rsidRPr="00DA07E5" w:rsidRDefault="003034BF" w:rsidP="00DA07E5">
      <w:pPr>
        <w:pStyle w:val="ListBullet"/>
        <w:rPr>
          <w:rFonts w:eastAsia="Times New Roman"/>
          <w:sz w:val="22"/>
        </w:rPr>
      </w:pPr>
      <w:r w:rsidRPr="00DA07E5">
        <w:rPr>
          <w:rFonts w:eastAsia="Times New Roman"/>
          <w:sz w:val="22"/>
        </w:rPr>
        <w:t>Exceeding the severe threshold for overdose incidents.</w:t>
      </w:r>
    </w:p>
    <w:p w14:paraId="7FFD944B" w14:textId="05DCD25E" w:rsidR="003034BF" w:rsidRPr="00DA07E5" w:rsidRDefault="003034BF" w:rsidP="003034BF">
      <w:pPr>
        <w:pStyle w:val="ListBullet"/>
        <w:rPr>
          <w:rFonts w:eastAsia="Times New Roman"/>
          <w:sz w:val="22"/>
        </w:rPr>
      </w:pPr>
      <w:r w:rsidRPr="00DA07E5">
        <w:rPr>
          <w:rFonts w:eastAsia="Times New Roman"/>
          <w:sz w:val="22"/>
        </w:rPr>
        <w:t xml:space="preserve">Evidence of a suspected overdose cluster </w:t>
      </w:r>
      <w:r w:rsidR="00DA07E5" w:rsidRPr="00DA07E5">
        <w:rPr>
          <w:rFonts w:eastAsia="Times New Roman"/>
          <w:sz w:val="22"/>
        </w:rPr>
        <w:t xml:space="preserve">in Rochester </w:t>
      </w:r>
      <w:r w:rsidRPr="00DA07E5">
        <w:rPr>
          <w:rFonts w:eastAsia="Times New Roman"/>
          <w:sz w:val="22"/>
        </w:rPr>
        <w:t>and one associated fatality.</w:t>
      </w:r>
    </w:p>
    <w:p w14:paraId="47C55281" w14:textId="77777777" w:rsidR="00DA07E5" w:rsidRPr="003B4FA8" w:rsidRDefault="00DA07E5" w:rsidP="003B4FA8">
      <w:pPr>
        <w:rPr>
          <w:rFonts w:eastAsia="Times New Roman"/>
          <w:b/>
          <w:sz w:val="22"/>
          <w:szCs w:val="20"/>
        </w:rPr>
      </w:pPr>
      <w:r w:rsidRPr="003B4FA8">
        <w:rPr>
          <w:rFonts w:eastAsia="Times New Roman"/>
          <w:sz w:val="22"/>
          <w:szCs w:val="20"/>
        </w:rPr>
        <w:t>MDH recommended focused outreach to affected groups and harm reduction strategies for at-risk populations without broad public messaging.</w:t>
      </w:r>
    </w:p>
    <w:p w14:paraId="70A83494" w14:textId="5B32D294" w:rsidR="00800E9E" w:rsidRPr="00800E9E" w:rsidRDefault="00800E9E" w:rsidP="00800E9E">
      <w:pPr>
        <w:pStyle w:val="Heading2"/>
      </w:pPr>
      <w:r w:rsidRPr="005E37DA">
        <w:t xml:space="preserve">Incident </w:t>
      </w:r>
      <w:r w:rsidR="003034BF">
        <w:t>Analysis</w:t>
      </w:r>
    </w:p>
    <w:p w14:paraId="4FE6B98A" w14:textId="54F9C67D" w:rsidR="00E83346" w:rsidRPr="00DA07E5" w:rsidRDefault="00E83346" w:rsidP="00DA07E5">
      <w:pPr>
        <w:pStyle w:val="ListNumber"/>
        <w:rPr>
          <w:sz w:val="22"/>
          <w:szCs w:val="20"/>
        </w:rPr>
      </w:pPr>
      <w:r w:rsidRPr="00DA07E5">
        <w:rPr>
          <w:b/>
          <w:bCs/>
          <w:sz w:val="22"/>
          <w:szCs w:val="20"/>
        </w:rPr>
        <w:t>Extent and Duration of Anomaly</w:t>
      </w:r>
      <w:r w:rsidR="00800E9E" w:rsidRPr="00DA07E5">
        <w:rPr>
          <w:b/>
          <w:bCs/>
          <w:sz w:val="22"/>
          <w:szCs w:val="20"/>
        </w:rPr>
        <w:t>:</w:t>
      </w:r>
      <w:r w:rsidR="00800E9E" w:rsidRPr="00DA07E5">
        <w:rPr>
          <w:sz w:val="22"/>
          <w:szCs w:val="20"/>
        </w:rPr>
        <w:t xml:space="preserve"> Nine opioid overdoses over five days in</w:t>
      </w:r>
      <w:r w:rsidR="00DA07E5" w:rsidRPr="00DA07E5">
        <w:rPr>
          <w:sz w:val="22"/>
          <w:szCs w:val="20"/>
        </w:rPr>
        <w:t xml:space="preserve"> Olmsted County.</w:t>
      </w:r>
    </w:p>
    <w:p w14:paraId="36380002" w14:textId="315BE2D8" w:rsidR="00800E9E" w:rsidRPr="00DA07E5" w:rsidRDefault="00800E9E" w:rsidP="00DA07E5">
      <w:pPr>
        <w:pStyle w:val="ListNumber"/>
        <w:rPr>
          <w:sz w:val="22"/>
          <w:szCs w:val="20"/>
        </w:rPr>
      </w:pPr>
      <w:r w:rsidRPr="00DA07E5">
        <w:rPr>
          <w:b/>
          <w:bCs/>
          <w:sz w:val="22"/>
          <w:szCs w:val="20"/>
        </w:rPr>
        <w:t>Substance Involvement and Route of Administration:</w:t>
      </w:r>
      <w:r w:rsidRPr="00DA07E5">
        <w:rPr>
          <w:sz w:val="22"/>
          <w:szCs w:val="20"/>
        </w:rPr>
        <w:t xml:space="preserve"> All </w:t>
      </w:r>
      <w:r w:rsidR="00DA07E5">
        <w:rPr>
          <w:sz w:val="22"/>
          <w:szCs w:val="20"/>
        </w:rPr>
        <w:t xml:space="preserve">nonfatal </w:t>
      </w:r>
      <w:r w:rsidRPr="00DA07E5">
        <w:rPr>
          <w:sz w:val="22"/>
          <w:szCs w:val="20"/>
        </w:rPr>
        <w:t xml:space="preserve">cases responded to naloxone. Specific substance details were available for </w:t>
      </w:r>
      <w:r w:rsidR="00DA07E5">
        <w:rPr>
          <w:sz w:val="22"/>
          <w:szCs w:val="20"/>
        </w:rPr>
        <w:t>50% of cases, with reports of</w:t>
      </w:r>
      <w:r w:rsidRPr="00DA07E5">
        <w:rPr>
          <w:sz w:val="22"/>
          <w:szCs w:val="20"/>
        </w:rPr>
        <w:t>:</w:t>
      </w:r>
    </w:p>
    <w:p w14:paraId="2D207675" w14:textId="135249F2" w:rsidR="00800E9E" w:rsidRPr="00DA07E5" w:rsidRDefault="00800E9E" w:rsidP="00DA07E5">
      <w:pPr>
        <w:pStyle w:val="ListNumber"/>
        <w:numPr>
          <w:ilvl w:val="1"/>
          <w:numId w:val="10"/>
        </w:numPr>
        <w:rPr>
          <w:sz w:val="22"/>
          <w:szCs w:val="20"/>
        </w:rPr>
      </w:pPr>
      <w:r w:rsidRPr="00DA07E5">
        <w:rPr>
          <w:sz w:val="22"/>
          <w:szCs w:val="20"/>
        </w:rPr>
        <w:t>Oxycodone</w:t>
      </w:r>
    </w:p>
    <w:p w14:paraId="247FC973" w14:textId="4175EBF0" w:rsidR="00800E9E" w:rsidRPr="00DA07E5" w:rsidRDefault="00800E9E" w:rsidP="00DA07E5">
      <w:pPr>
        <w:pStyle w:val="ListNumber"/>
        <w:numPr>
          <w:ilvl w:val="1"/>
          <w:numId w:val="10"/>
        </w:numPr>
        <w:rPr>
          <w:sz w:val="22"/>
          <w:szCs w:val="20"/>
        </w:rPr>
      </w:pPr>
      <w:r w:rsidRPr="00DA07E5">
        <w:rPr>
          <w:sz w:val="22"/>
          <w:szCs w:val="20"/>
        </w:rPr>
        <w:t>Cocaine and alcohol (associated with the fatal overdose)</w:t>
      </w:r>
    </w:p>
    <w:p w14:paraId="7105B384" w14:textId="40532A22" w:rsidR="00800E9E" w:rsidRPr="00DA07E5" w:rsidRDefault="00800E9E" w:rsidP="00DA07E5">
      <w:pPr>
        <w:pStyle w:val="ListNumber"/>
        <w:numPr>
          <w:ilvl w:val="1"/>
          <w:numId w:val="10"/>
        </w:numPr>
        <w:rPr>
          <w:sz w:val="22"/>
          <w:szCs w:val="20"/>
        </w:rPr>
      </w:pPr>
      <w:r w:rsidRPr="00DA07E5">
        <w:rPr>
          <w:sz w:val="22"/>
          <w:szCs w:val="20"/>
        </w:rPr>
        <w:t>Smoking fentanyl</w:t>
      </w:r>
    </w:p>
    <w:p w14:paraId="5A31922F" w14:textId="4B73FECC" w:rsidR="00800E9E" w:rsidRPr="00DA07E5" w:rsidRDefault="00800E9E" w:rsidP="00DA07E5">
      <w:pPr>
        <w:pStyle w:val="ListNumber"/>
        <w:numPr>
          <w:ilvl w:val="1"/>
          <w:numId w:val="10"/>
        </w:numPr>
        <w:rPr>
          <w:sz w:val="22"/>
          <w:szCs w:val="20"/>
        </w:rPr>
      </w:pPr>
      <w:r w:rsidRPr="00DA07E5">
        <w:rPr>
          <w:sz w:val="22"/>
          <w:szCs w:val="20"/>
        </w:rPr>
        <w:t>Fentanyl use</w:t>
      </w:r>
    </w:p>
    <w:p w14:paraId="3199ACF4" w14:textId="5C39B5EE" w:rsidR="00E83346" w:rsidRPr="00DA07E5" w:rsidRDefault="00E83346" w:rsidP="00DA07E5">
      <w:pPr>
        <w:pStyle w:val="ListNumber"/>
        <w:rPr>
          <w:sz w:val="22"/>
          <w:szCs w:val="20"/>
        </w:rPr>
      </w:pPr>
      <w:r w:rsidRPr="00DA07E5">
        <w:rPr>
          <w:b/>
          <w:bCs/>
          <w:sz w:val="22"/>
          <w:szCs w:val="20"/>
        </w:rPr>
        <w:t xml:space="preserve">Geographical </w:t>
      </w:r>
      <w:r w:rsidR="00FE67ED" w:rsidRPr="00DA07E5">
        <w:rPr>
          <w:b/>
          <w:bCs/>
          <w:sz w:val="22"/>
          <w:szCs w:val="20"/>
        </w:rPr>
        <w:t>Concentration</w:t>
      </w:r>
      <w:r w:rsidR="00800E9E" w:rsidRPr="00DA07E5">
        <w:rPr>
          <w:b/>
          <w:bCs/>
          <w:sz w:val="22"/>
          <w:szCs w:val="20"/>
        </w:rPr>
        <w:t>:</w:t>
      </w:r>
      <w:r w:rsidR="00800E9E" w:rsidRPr="00DA07E5">
        <w:rPr>
          <w:sz w:val="22"/>
          <w:szCs w:val="20"/>
        </w:rPr>
        <w:t xml:space="preserve"> All incidents occurred within Rochester</w:t>
      </w:r>
      <w:r w:rsidR="00545655" w:rsidRPr="00DA07E5">
        <w:rPr>
          <w:sz w:val="22"/>
          <w:szCs w:val="20"/>
        </w:rPr>
        <w:t>.</w:t>
      </w:r>
    </w:p>
    <w:p w14:paraId="4F043CB9" w14:textId="47634452" w:rsidR="005E37DA" w:rsidRPr="00DA07E5" w:rsidRDefault="005E37DA" w:rsidP="00DA07E5">
      <w:pPr>
        <w:pStyle w:val="ListNumber"/>
        <w:rPr>
          <w:b/>
          <w:bCs/>
          <w:sz w:val="22"/>
          <w:szCs w:val="20"/>
        </w:rPr>
      </w:pPr>
      <w:r w:rsidRPr="00DA07E5">
        <w:rPr>
          <w:b/>
          <w:bCs/>
          <w:sz w:val="22"/>
          <w:szCs w:val="20"/>
        </w:rPr>
        <w:lastRenderedPageBreak/>
        <w:t>Location</w:t>
      </w:r>
      <w:r w:rsidR="00800E9E" w:rsidRPr="00DA07E5">
        <w:rPr>
          <w:b/>
          <w:bCs/>
          <w:sz w:val="22"/>
          <w:szCs w:val="20"/>
        </w:rPr>
        <w:t xml:space="preserve"> and Circumstances of Discovery:</w:t>
      </w:r>
    </w:p>
    <w:p w14:paraId="425A991D" w14:textId="1A7B32DD" w:rsidR="00800E9E" w:rsidRPr="00DA07E5" w:rsidRDefault="00800E9E" w:rsidP="00DA07E5">
      <w:pPr>
        <w:pStyle w:val="ListNumber"/>
        <w:numPr>
          <w:ilvl w:val="1"/>
          <w:numId w:val="10"/>
        </w:numPr>
        <w:rPr>
          <w:sz w:val="22"/>
          <w:szCs w:val="20"/>
        </w:rPr>
      </w:pPr>
      <w:r w:rsidRPr="00DA07E5">
        <w:rPr>
          <w:b/>
          <w:bCs/>
          <w:sz w:val="22"/>
          <w:szCs w:val="20"/>
        </w:rPr>
        <w:t>Private Residences:</w:t>
      </w:r>
      <w:r w:rsidRPr="00DA07E5">
        <w:rPr>
          <w:sz w:val="22"/>
          <w:szCs w:val="20"/>
        </w:rPr>
        <w:t xml:space="preserve"> </w:t>
      </w:r>
      <w:r w:rsidR="00DA07E5">
        <w:rPr>
          <w:sz w:val="22"/>
          <w:szCs w:val="20"/>
        </w:rPr>
        <w:t>N</w:t>
      </w:r>
      <w:r w:rsidRPr="00DA07E5">
        <w:rPr>
          <w:sz w:val="22"/>
          <w:szCs w:val="20"/>
        </w:rPr>
        <w:t>early all incidents occurred in private residences, often discovered by friends, family members, or roommates.</w:t>
      </w:r>
    </w:p>
    <w:p w14:paraId="2606DB3D" w14:textId="1E61708F" w:rsidR="00800E9E" w:rsidRPr="00DA07E5" w:rsidRDefault="00800E9E" w:rsidP="00DA07E5">
      <w:pPr>
        <w:pStyle w:val="ListNumber"/>
        <w:numPr>
          <w:ilvl w:val="1"/>
          <w:numId w:val="10"/>
        </w:numPr>
        <w:rPr>
          <w:sz w:val="22"/>
          <w:szCs w:val="20"/>
        </w:rPr>
      </w:pPr>
      <w:r w:rsidRPr="00DA07E5">
        <w:rPr>
          <w:b/>
          <w:bCs/>
          <w:sz w:val="22"/>
          <w:szCs w:val="20"/>
        </w:rPr>
        <w:t>Presence of Bystanders:</w:t>
      </w:r>
      <w:r w:rsidRPr="00DA07E5">
        <w:rPr>
          <w:sz w:val="22"/>
          <w:szCs w:val="20"/>
        </w:rPr>
        <w:t xml:space="preserve"> </w:t>
      </w:r>
      <w:r w:rsidR="00593BB4" w:rsidRPr="00DA07E5">
        <w:rPr>
          <w:sz w:val="22"/>
          <w:szCs w:val="20"/>
        </w:rPr>
        <w:t>In several cases, bystanders witnessed or discovered the individuals shortly after overdose, including the fatality.</w:t>
      </w:r>
    </w:p>
    <w:p w14:paraId="60D62ED4" w14:textId="2A238BB3" w:rsidR="00800E9E" w:rsidRPr="00DA07E5" w:rsidRDefault="00593BB4" w:rsidP="00DA07E5">
      <w:pPr>
        <w:pStyle w:val="ListNumber"/>
        <w:numPr>
          <w:ilvl w:val="1"/>
          <w:numId w:val="10"/>
        </w:numPr>
        <w:rPr>
          <w:sz w:val="22"/>
          <w:szCs w:val="20"/>
        </w:rPr>
      </w:pPr>
      <w:r w:rsidRPr="00DA07E5">
        <w:rPr>
          <w:b/>
          <w:bCs/>
          <w:sz w:val="22"/>
          <w:szCs w:val="20"/>
        </w:rPr>
        <w:t>Refusal of Medical Transport:</w:t>
      </w:r>
      <w:r w:rsidRPr="00DA07E5">
        <w:rPr>
          <w:sz w:val="22"/>
          <w:szCs w:val="20"/>
        </w:rPr>
        <w:t xml:space="preserve"> Two individuals initially refused further medical transport after naloxone administration; one eventually agreed after law enforcement intervention due to an active warrant.</w:t>
      </w:r>
    </w:p>
    <w:p w14:paraId="63EBDDB9" w14:textId="63D90DEE" w:rsidR="00593BB4" w:rsidRPr="00DA07E5" w:rsidRDefault="00593BB4" w:rsidP="00DA07E5">
      <w:pPr>
        <w:pStyle w:val="ListNumber"/>
        <w:rPr>
          <w:b/>
          <w:bCs/>
          <w:sz w:val="22"/>
          <w:szCs w:val="20"/>
        </w:rPr>
      </w:pPr>
      <w:r w:rsidRPr="00DA07E5">
        <w:rPr>
          <w:b/>
          <w:bCs/>
          <w:sz w:val="22"/>
          <w:szCs w:val="20"/>
        </w:rPr>
        <w:t>Demographics:</w:t>
      </w:r>
    </w:p>
    <w:p w14:paraId="062B6F49" w14:textId="21A3DC33" w:rsidR="00593BB4" w:rsidRPr="00DA07E5" w:rsidRDefault="00593BB4" w:rsidP="00DA07E5">
      <w:pPr>
        <w:pStyle w:val="ListNumber"/>
        <w:numPr>
          <w:ilvl w:val="1"/>
          <w:numId w:val="10"/>
        </w:numPr>
        <w:rPr>
          <w:sz w:val="22"/>
          <w:szCs w:val="20"/>
        </w:rPr>
      </w:pPr>
      <w:r w:rsidRPr="00DA07E5">
        <w:rPr>
          <w:b/>
          <w:bCs/>
          <w:sz w:val="22"/>
          <w:szCs w:val="20"/>
        </w:rPr>
        <w:t>Gender:</w:t>
      </w:r>
      <w:r w:rsidRPr="00DA07E5">
        <w:rPr>
          <w:sz w:val="22"/>
          <w:szCs w:val="20"/>
        </w:rPr>
        <w:t xml:space="preserve"> Men </w:t>
      </w:r>
      <w:r w:rsidR="00DA07E5">
        <w:rPr>
          <w:sz w:val="22"/>
          <w:szCs w:val="20"/>
        </w:rPr>
        <w:t>represented 75% of cases.</w:t>
      </w:r>
    </w:p>
    <w:p w14:paraId="00157245" w14:textId="366E7A5D" w:rsidR="00593BB4" w:rsidRPr="00DA07E5" w:rsidRDefault="00593BB4" w:rsidP="00DA07E5">
      <w:pPr>
        <w:pStyle w:val="ListNumber"/>
        <w:numPr>
          <w:ilvl w:val="1"/>
          <w:numId w:val="10"/>
        </w:numPr>
        <w:rPr>
          <w:sz w:val="22"/>
          <w:szCs w:val="20"/>
        </w:rPr>
      </w:pPr>
      <w:r w:rsidRPr="00DA07E5">
        <w:rPr>
          <w:b/>
          <w:bCs/>
          <w:sz w:val="22"/>
          <w:szCs w:val="20"/>
        </w:rPr>
        <w:t>Race:</w:t>
      </w:r>
      <w:r w:rsidRPr="00DA07E5">
        <w:rPr>
          <w:sz w:val="22"/>
          <w:szCs w:val="20"/>
        </w:rPr>
        <w:t xml:space="preserve"> Black </w:t>
      </w:r>
      <w:r w:rsidR="00DA07E5">
        <w:rPr>
          <w:sz w:val="22"/>
          <w:szCs w:val="20"/>
        </w:rPr>
        <w:t>patients represented 38% of cases compared to 9% of the city population.</w:t>
      </w:r>
    </w:p>
    <w:p w14:paraId="2E187779" w14:textId="2AD5B0EB" w:rsidR="005E37DA" w:rsidRPr="00DA07E5" w:rsidRDefault="00593BB4" w:rsidP="00DA07E5">
      <w:pPr>
        <w:pStyle w:val="ListNumber"/>
        <w:numPr>
          <w:ilvl w:val="1"/>
          <w:numId w:val="10"/>
        </w:numPr>
        <w:rPr>
          <w:sz w:val="22"/>
          <w:szCs w:val="20"/>
        </w:rPr>
      </w:pPr>
      <w:r w:rsidRPr="00DA07E5">
        <w:rPr>
          <w:b/>
          <w:bCs/>
          <w:sz w:val="22"/>
          <w:szCs w:val="20"/>
        </w:rPr>
        <w:t>Age Range:</w:t>
      </w:r>
      <w:r w:rsidRPr="00DA07E5">
        <w:rPr>
          <w:sz w:val="22"/>
          <w:szCs w:val="20"/>
        </w:rPr>
        <w:t xml:space="preserve"> </w:t>
      </w:r>
      <w:r w:rsidR="00DA07E5">
        <w:rPr>
          <w:sz w:val="22"/>
          <w:szCs w:val="20"/>
        </w:rPr>
        <w:t>Pa</w:t>
      </w:r>
      <w:r w:rsidRPr="00DA07E5">
        <w:rPr>
          <w:sz w:val="22"/>
          <w:szCs w:val="20"/>
        </w:rPr>
        <w:t>tients spanned a wide range of ages, from their 20s to their 60s.</w:t>
      </w:r>
    </w:p>
    <w:p w14:paraId="3BE8C542" w14:textId="7803F49B" w:rsidR="00E83346" w:rsidRDefault="005E37DA" w:rsidP="005E37DA">
      <w:pPr>
        <w:pStyle w:val="Heading2"/>
      </w:pPr>
      <w:r>
        <w:t>Key Risk Factors</w:t>
      </w:r>
    </w:p>
    <w:p w14:paraId="2A2D7C4C" w14:textId="7724AB01" w:rsidR="003034BF" w:rsidRPr="00DA07E5" w:rsidRDefault="005E37DA" w:rsidP="008A3C81">
      <w:pPr>
        <w:pStyle w:val="ListBullet"/>
        <w:rPr>
          <w:b/>
          <w:bCs/>
          <w:sz w:val="22"/>
          <w:szCs w:val="20"/>
        </w:rPr>
      </w:pPr>
      <w:r w:rsidRPr="00DA07E5">
        <w:rPr>
          <w:b/>
          <w:bCs/>
          <w:sz w:val="22"/>
          <w:szCs w:val="20"/>
        </w:rPr>
        <w:t>Polysubstance Use:</w:t>
      </w:r>
      <w:r w:rsidRPr="00DA07E5">
        <w:rPr>
          <w:sz w:val="22"/>
          <w:szCs w:val="20"/>
        </w:rPr>
        <w:t xml:space="preserve"> </w:t>
      </w:r>
      <w:r w:rsidR="00DA07E5" w:rsidRPr="00DA07E5">
        <w:rPr>
          <w:sz w:val="22"/>
          <w:szCs w:val="20"/>
        </w:rPr>
        <w:t>Incidents involved a range of drugs, sometimes unknowingly mixed with opioids.</w:t>
      </w:r>
    </w:p>
    <w:p w14:paraId="33CAE2CD" w14:textId="54C14318" w:rsidR="00365504" w:rsidRPr="0077458D" w:rsidRDefault="005E37DA" w:rsidP="008A3C81">
      <w:pPr>
        <w:pStyle w:val="ListBullet"/>
        <w:rPr>
          <w:sz w:val="22"/>
          <w:szCs w:val="20"/>
        </w:rPr>
      </w:pPr>
      <w:r w:rsidRPr="00DA07E5">
        <w:rPr>
          <w:b/>
          <w:bCs/>
          <w:sz w:val="22"/>
          <w:szCs w:val="20"/>
        </w:rPr>
        <w:t xml:space="preserve">Routes of Administration: </w:t>
      </w:r>
      <w:bookmarkStart w:id="0" w:name="_Hlk181266565"/>
      <w:r w:rsidR="003034BF" w:rsidRPr="00DA07E5">
        <w:rPr>
          <w:sz w:val="22"/>
          <w:szCs w:val="20"/>
        </w:rPr>
        <w:t>Cases involving inhalation indicate a need for harm reduction strategies tailored to smoking-related opioid use.</w:t>
      </w:r>
      <w:bookmarkEnd w:id="0"/>
    </w:p>
    <w:p w14:paraId="1A22F9DF" w14:textId="1537C1C5" w:rsidR="00365504" w:rsidRPr="0077458D" w:rsidRDefault="002C7BF1" w:rsidP="008A3C81">
      <w:pPr>
        <w:pStyle w:val="ListBullet"/>
        <w:rPr>
          <w:sz w:val="22"/>
          <w:szCs w:val="20"/>
        </w:rPr>
      </w:pPr>
      <w:r w:rsidRPr="0077458D">
        <w:rPr>
          <w:b/>
          <w:bCs/>
          <w:sz w:val="22"/>
          <w:szCs w:val="20"/>
        </w:rPr>
        <w:t>Private Residences</w:t>
      </w:r>
      <w:r w:rsidR="00593BB4" w:rsidRPr="0077458D">
        <w:rPr>
          <w:b/>
          <w:bCs/>
          <w:sz w:val="22"/>
          <w:szCs w:val="20"/>
        </w:rPr>
        <w:t xml:space="preserve"> and Isolation</w:t>
      </w:r>
      <w:r w:rsidRPr="0077458D">
        <w:rPr>
          <w:b/>
          <w:bCs/>
          <w:sz w:val="22"/>
          <w:szCs w:val="20"/>
        </w:rPr>
        <w:t xml:space="preserve">: </w:t>
      </w:r>
      <w:r w:rsidR="0077458D">
        <w:rPr>
          <w:sz w:val="22"/>
          <w:szCs w:val="20"/>
        </w:rPr>
        <w:t>Nearly all overdoses occurred in</w:t>
      </w:r>
      <w:r w:rsidR="003034BF" w:rsidRPr="0077458D">
        <w:rPr>
          <w:sz w:val="22"/>
          <w:szCs w:val="20"/>
        </w:rPr>
        <w:t xml:space="preserve"> private settings</w:t>
      </w:r>
      <w:r w:rsidR="0077458D">
        <w:rPr>
          <w:sz w:val="22"/>
          <w:szCs w:val="20"/>
        </w:rPr>
        <w:t xml:space="preserve"> which can</w:t>
      </w:r>
      <w:r w:rsidR="003034BF" w:rsidRPr="0077458D">
        <w:rPr>
          <w:sz w:val="22"/>
          <w:szCs w:val="20"/>
        </w:rPr>
        <w:t xml:space="preserve"> create delayed response times, especially when individuals are alone.</w:t>
      </w:r>
    </w:p>
    <w:p w14:paraId="26E7AA43" w14:textId="17115213" w:rsidR="003034BF" w:rsidRPr="0077458D" w:rsidRDefault="0077458D" w:rsidP="008A3C81">
      <w:pPr>
        <w:pStyle w:val="ListBullet"/>
        <w:rPr>
          <w:sz w:val="22"/>
          <w:szCs w:val="20"/>
        </w:rPr>
      </w:pPr>
      <w:r>
        <w:rPr>
          <w:b/>
          <w:bCs/>
          <w:sz w:val="22"/>
          <w:szCs w:val="20"/>
        </w:rPr>
        <w:t>Refusal for Transport to Hospital</w:t>
      </w:r>
      <w:r w:rsidR="002C7BF1" w:rsidRPr="0077458D">
        <w:rPr>
          <w:b/>
          <w:bCs/>
          <w:sz w:val="22"/>
          <w:szCs w:val="20"/>
        </w:rPr>
        <w:t xml:space="preserve">: </w:t>
      </w:r>
      <w:r w:rsidR="003034BF" w:rsidRPr="0077458D">
        <w:rPr>
          <w:sz w:val="22"/>
          <w:szCs w:val="20"/>
        </w:rPr>
        <w:t>Some individuals refused further medical care after naloxone administration, complicating continuity of care.</w:t>
      </w:r>
    </w:p>
    <w:p w14:paraId="491101FC" w14:textId="53984E4E" w:rsidR="003034BF" w:rsidRPr="0077458D" w:rsidRDefault="0077458D" w:rsidP="008A3C81">
      <w:pPr>
        <w:pStyle w:val="ListBullet"/>
        <w:rPr>
          <w:b/>
          <w:sz w:val="22"/>
          <w:szCs w:val="20"/>
        </w:rPr>
      </w:pPr>
      <w:r>
        <w:rPr>
          <w:b/>
          <w:sz w:val="22"/>
          <w:szCs w:val="20"/>
        </w:rPr>
        <w:t>Men and Black People</w:t>
      </w:r>
      <w:r w:rsidR="00593BB4" w:rsidRPr="0077458D">
        <w:rPr>
          <w:b/>
          <w:sz w:val="22"/>
          <w:szCs w:val="20"/>
        </w:rPr>
        <w:t>:</w:t>
      </w:r>
      <w:r w:rsidR="00593BB4" w:rsidRPr="0077458D">
        <w:rPr>
          <w:bCs/>
          <w:sz w:val="22"/>
          <w:szCs w:val="20"/>
        </w:rPr>
        <w:t xml:space="preserve"> </w:t>
      </w:r>
      <w:r w:rsidR="003034BF" w:rsidRPr="0077458D">
        <w:rPr>
          <w:bCs/>
          <w:sz w:val="22"/>
          <w:szCs w:val="20"/>
        </w:rPr>
        <w:t>Overrepresented groups point to possible healthcare disparities and the need for culturally responsive outreach.</w:t>
      </w:r>
    </w:p>
    <w:p w14:paraId="5A829160" w14:textId="6F3F2AC9" w:rsidR="00E71A61" w:rsidRDefault="00E71A61" w:rsidP="00E71A61">
      <w:pPr>
        <w:pStyle w:val="Heading2"/>
        <w:rPr>
          <w:rStyle w:val="Strong"/>
          <w:b/>
          <w:bCs w:val="0"/>
        </w:rPr>
      </w:pPr>
      <w:r>
        <w:rPr>
          <w:rStyle w:val="Strong"/>
          <w:b/>
          <w:bCs w:val="0"/>
        </w:rPr>
        <w:t>Recommended Actions</w:t>
      </w:r>
    </w:p>
    <w:p w14:paraId="2F5B2C3E" w14:textId="4DBD0834" w:rsidR="003B4FA8" w:rsidRPr="003B4FA8" w:rsidRDefault="003B4FA8" w:rsidP="003B4FA8">
      <w:pPr>
        <w:pStyle w:val="ListBullet"/>
        <w:rPr>
          <w:sz w:val="22"/>
          <w:szCs w:val="20"/>
        </w:rPr>
      </w:pPr>
      <w:bookmarkStart w:id="1" w:name="_Hlk181275513"/>
      <w:r w:rsidRPr="003B4FA8">
        <w:rPr>
          <w:rStyle w:val="Strong"/>
          <w:sz w:val="22"/>
          <w:szCs w:val="20"/>
        </w:rPr>
        <w:t>Targeted Naloxone Distribution:</w:t>
      </w:r>
      <w:r w:rsidRPr="003B4FA8">
        <w:rPr>
          <w:sz w:val="22"/>
          <w:szCs w:val="20"/>
        </w:rPr>
        <w:t xml:space="preserve"> Increase naloxone access for law enforcement, EMS, and community health workers, focusing on distribution to private residences and high-risk individuals, including men and Black communities.</w:t>
      </w:r>
    </w:p>
    <w:p w14:paraId="57BD0B9B" w14:textId="00003482" w:rsidR="003B4FA8" w:rsidRPr="003B4FA8" w:rsidRDefault="003B4FA8" w:rsidP="003B4FA8">
      <w:pPr>
        <w:pStyle w:val="ListBullet"/>
        <w:rPr>
          <w:sz w:val="22"/>
          <w:szCs w:val="20"/>
        </w:rPr>
      </w:pPr>
      <w:r w:rsidRPr="003B4FA8">
        <w:rPr>
          <w:rStyle w:val="Strong"/>
          <w:sz w:val="22"/>
          <w:szCs w:val="20"/>
        </w:rPr>
        <w:t>Culturally Tailored Harm Reduction Messaging:</w:t>
      </w:r>
      <w:r w:rsidRPr="003B4FA8">
        <w:rPr>
          <w:sz w:val="22"/>
          <w:szCs w:val="20"/>
        </w:rPr>
        <w:t xml:space="preserve"> Work with community leaders to deliver safe</w:t>
      </w:r>
      <w:r w:rsidR="00D9485D">
        <w:rPr>
          <w:sz w:val="22"/>
          <w:szCs w:val="20"/>
        </w:rPr>
        <w:t>r</w:t>
      </w:r>
      <w:r w:rsidRPr="003B4FA8">
        <w:rPr>
          <w:sz w:val="22"/>
          <w:szCs w:val="20"/>
        </w:rPr>
        <w:t xml:space="preserve"> use guidance, Good Samaritan Law awareness, and treatment resources to Black and male populations.</w:t>
      </w:r>
    </w:p>
    <w:p w14:paraId="0A732549" w14:textId="64595CFE" w:rsidR="003B4FA8" w:rsidRPr="003B4FA8" w:rsidRDefault="003B4FA8" w:rsidP="003B4FA8">
      <w:pPr>
        <w:pStyle w:val="ListBullet"/>
        <w:rPr>
          <w:sz w:val="22"/>
          <w:szCs w:val="20"/>
        </w:rPr>
      </w:pPr>
      <w:r w:rsidRPr="003B4FA8">
        <w:rPr>
          <w:rStyle w:val="Strong"/>
          <w:sz w:val="22"/>
          <w:szCs w:val="20"/>
        </w:rPr>
        <w:t>Cross-Agency Coordination:</w:t>
      </w:r>
      <w:r w:rsidRPr="003B4FA8">
        <w:rPr>
          <w:sz w:val="22"/>
          <w:szCs w:val="20"/>
        </w:rPr>
        <w:t xml:space="preserve"> Strengthen collaboration among law enforcement, EMS, public health, and harm reduction partners to improve outreach and resource distribution.</w:t>
      </w:r>
    </w:p>
    <w:p w14:paraId="2A0BB648" w14:textId="09F4AECC" w:rsidR="003B4FA8" w:rsidRPr="003B4FA8" w:rsidRDefault="003B4FA8" w:rsidP="003B4FA8">
      <w:pPr>
        <w:pStyle w:val="ListBullet"/>
      </w:pPr>
      <w:r w:rsidRPr="003B4FA8">
        <w:rPr>
          <w:rStyle w:val="Strong"/>
          <w:sz w:val="22"/>
          <w:szCs w:val="20"/>
        </w:rPr>
        <w:t>Post-Overdose Follow-Up:</w:t>
      </w:r>
      <w:r w:rsidRPr="003B4FA8">
        <w:rPr>
          <w:sz w:val="22"/>
          <w:szCs w:val="20"/>
        </w:rPr>
        <w:t xml:space="preserve"> Activate the Post-Overdose Response Team (PORT) to connect overdose survivors to treatment and harm reduction resources, especially those who refuse</w:t>
      </w:r>
      <w:bookmarkEnd w:id="1"/>
      <w:r>
        <w:rPr>
          <w:sz w:val="22"/>
          <w:szCs w:val="20"/>
        </w:rPr>
        <w:t xml:space="preserve"> transport to EDs.</w:t>
      </w:r>
    </w:p>
    <w:p w14:paraId="2556A799" w14:textId="77777777" w:rsidR="00A917DC" w:rsidRDefault="00A917DC">
      <w:pPr>
        <w:suppressAutoHyphens w:val="0"/>
        <w:spacing w:before="60" w:after="60"/>
        <w:rPr>
          <w:rFonts w:asciiTheme="minorHAnsi" w:eastAsiaTheme="majorEastAsia" w:hAnsiTheme="minorHAnsi" w:cstheme="majorBidi"/>
          <w:b/>
          <w:color w:val="003865" w:themeColor="accent1"/>
          <w:spacing w:val="-5"/>
          <w:sz w:val="36"/>
          <w:szCs w:val="36"/>
        </w:rPr>
      </w:pPr>
      <w:r>
        <w:br w:type="page"/>
      </w:r>
    </w:p>
    <w:p w14:paraId="50F067DD" w14:textId="07CB8269" w:rsidR="00593BB4" w:rsidRDefault="00BC3C66" w:rsidP="003B4FA8">
      <w:pPr>
        <w:pStyle w:val="Heading2"/>
      </w:pPr>
      <w:r>
        <w:lastRenderedPageBreak/>
        <w:t>State Response</w:t>
      </w:r>
    </w:p>
    <w:p w14:paraId="3E64CB51" w14:textId="77777777" w:rsidR="0077458D" w:rsidRPr="0077458D" w:rsidRDefault="0077458D" w:rsidP="0077458D">
      <w:pPr>
        <w:pStyle w:val="ListBullet"/>
        <w:rPr>
          <w:rFonts w:eastAsia="Times New Roman"/>
          <w:b/>
          <w:bCs/>
          <w:sz w:val="22"/>
          <w:szCs w:val="20"/>
        </w:rPr>
      </w:pPr>
      <w:r w:rsidRPr="0077458D">
        <w:rPr>
          <w:rFonts w:eastAsia="Times New Roman"/>
          <w:b/>
          <w:bCs/>
          <w:sz w:val="22"/>
          <w:szCs w:val="20"/>
        </w:rPr>
        <w:t xml:space="preserve">Ongoing Surveillance: </w:t>
      </w:r>
      <w:r w:rsidRPr="0077458D">
        <w:rPr>
          <w:rFonts w:eastAsia="Times New Roman"/>
          <w:sz w:val="22"/>
          <w:szCs w:val="20"/>
        </w:rPr>
        <w:t>Continuously monitor overdose trends, providing regular updates and data analysis to local health authorities.</w:t>
      </w:r>
    </w:p>
    <w:p w14:paraId="58052791" w14:textId="78EA7E0B" w:rsidR="00BC3C66" w:rsidRPr="003B4FA8" w:rsidRDefault="0077458D" w:rsidP="003034BF">
      <w:pPr>
        <w:pStyle w:val="ListBullet"/>
        <w:rPr>
          <w:sz w:val="27"/>
        </w:rPr>
      </w:pPr>
      <w:r w:rsidRPr="00EE5AEA">
        <w:rPr>
          <w:rFonts w:eastAsia="Times New Roman"/>
          <w:b/>
          <w:bCs/>
          <w:sz w:val="22"/>
          <w:szCs w:val="20"/>
        </w:rPr>
        <w:t>Resource and Messaging Coordination:</w:t>
      </w:r>
      <w:r w:rsidRPr="00EE5AEA">
        <w:rPr>
          <w:rFonts w:eastAsia="Times New Roman"/>
          <w:sz w:val="22"/>
          <w:szCs w:val="20"/>
        </w:rPr>
        <w:t xml:space="preserve"> Supply additional resources, such as naloxone kits and fentanyl test strips, and support culturally targeted messaging for affected groups</w:t>
      </w:r>
      <w:r w:rsidR="003034BF" w:rsidRPr="003B4FA8">
        <w:rPr>
          <w:sz w:val="22"/>
          <w:szCs w:val="20"/>
        </w:rPr>
        <w:t>.</w:t>
      </w:r>
    </w:p>
    <w:sectPr w:rsidR="00BC3C66" w:rsidRPr="003B4FA8" w:rsidSect="00F6143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3855B" w14:textId="77777777" w:rsidR="00F117EE" w:rsidRDefault="00F117EE" w:rsidP="00D36495">
      <w:r>
        <w:separator/>
      </w:r>
    </w:p>
  </w:endnote>
  <w:endnote w:type="continuationSeparator" w:id="0">
    <w:p w14:paraId="7F0F21B5" w14:textId="77777777" w:rsidR="00F117EE" w:rsidRDefault="00F117EE"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6BD7A" w14:textId="77777777" w:rsidR="00DA1CBB" w:rsidRDefault="00DA1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353500"/>
      <w:docPartObj>
        <w:docPartGallery w:val="Page Numbers (Bottom of Page)"/>
        <w:docPartUnique/>
      </w:docPartObj>
    </w:sdtPr>
    <w:sdtEndPr/>
    <w:sdtContent>
      <w:p w14:paraId="2BAF1222"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68000"/>
      <w:docPartObj>
        <w:docPartGallery w:val="Page Numbers (Bottom of Page)"/>
        <w:docPartUnique/>
      </w:docPartObj>
    </w:sdtPr>
    <w:sdtEndPr>
      <w:rPr>
        <w:rStyle w:val="HeaderChar"/>
        <w:caps/>
        <w:color w:val="003865" w:themeColor="text1"/>
        <w:spacing w:val="40"/>
        <w:sz w:val="20"/>
      </w:rPr>
    </w:sdtEndPr>
    <w:sdtContent>
      <w:p w14:paraId="113F23C6"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6657E" w14:textId="77777777" w:rsidR="00F117EE" w:rsidRDefault="00F117EE" w:rsidP="00D36495">
      <w:r>
        <w:separator/>
      </w:r>
    </w:p>
  </w:footnote>
  <w:footnote w:type="continuationSeparator" w:id="0">
    <w:p w14:paraId="4318BD1D" w14:textId="77777777" w:rsidR="00F117EE" w:rsidRDefault="00F117EE"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A15CE" w14:textId="23B0DC81" w:rsidR="00DA1CBB" w:rsidRDefault="00D9485D">
    <w:pPr>
      <w:pStyle w:val="Header"/>
    </w:pPr>
    <w:r>
      <w:rPr>
        <w:noProof/>
      </w:rPr>
      <w:pict w14:anchorId="144B3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31985" o:spid="_x0000_s1026" type="#_x0000_t136" style="position:absolute;left:0;text-align:left;margin-left:0;margin-top:0;width:549.9pt;height:109.95pt;rotation:315;z-index:-251655168;mso-position-horizontal:center;mso-position-horizontal-relative:margin;mso-position-vertical:center;mso-position-vertical-relative:margin" o:allowincell="f" fillcolor="silver" stroked="f">
          <v:fill opacity=".5"/>
          <v:textpath style="font-family:&quot;Calibri&quot;;font-size:1pt" string="DO NOT DISTRIBU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A771" w14:textId="13580D86" w:rsidR="00782710" w:rsidRPr="00DA1CBB" w:rsidRDefault="00D9485D" w:rsidP="004A069F">
    <w:pPr>
      <w:pStyle w:val="Header"/>
      <w:jc w:val="left"/>
      <w:rPr>
        <w:b/>
        <w:bCs/>
      </w:rPr>
    </w:pPr>
    <w:r>
      <w:rPr>
        <w:noProof/>
      </w:rPr>
      <w:pict w14:anchorId="1F296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31986" o:spid="_x0000_s1027" type="#_x0000_t136" style="position:absolute;margin-left:0;margin-top:0;width:549.9pt;height:109.95pt;rotation:315;z-index:-251653120;mso-position-horizontal:center;mso-position-horizontal-relative:margin;mso-position-vertical:center;mso-position-vertical-relative:margin" o:allowincell="f" fillcolor="silver" stroked="f">
          <v:fill opacity=".5"/>
          <v:textpath style="font-family:&quot;Calibri&quot;;font-size:1pt" string="DO NOT DISTRIBUTE"/>
          <w10:wrap anchorx="margin" anchory="margin"/>
        </v:shape>
      </w:pict>
    </w:r>
    <w:r w:rsidR="004A069F">
      <w:t>MN-OD-ALERTS CAse study: olmsted county</w:t>
    </w:r>
    <w:r w:rsidR="00DA1CBB">
      <w:br/>
    </w:r>
    <w:r w:rsidR="00DA1CBB">
      <w:rPr>
        <w:b/>
        <w:bCs/>
      </w:rPr>
      <w:t>for session use only – do not distribute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6083" w14:textId="48C2558B" w:rsidR="00DA1CBB" w:rsidRPr="00DA1CBB" w:rsidRDefault="00D9485D" w:rsidP="00DA1CBB">
    <w:pPr>
      <w:pStyle w:val="Header"/>
      <w:jc w:val="left"/>
      <w:rPr>
        <w:b/>
        <w:bCs/>
      </w:rPr>
    </w:pPr>
    <w:r>
      <w:rPr>
        <w:noProof/>
      </w:rPr>
      <w:pict w14:anchorId="47740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31984" o:spid="_x0000_s1025" type="#_x0000_t136" style="position:absolute;margin-left:0;margin-top:0;width:549.9pt;height:109.95pt;rotation:315;z-index:-251657216;mso-position-horizontal:center;mso-position-horizontal-relative:margin;mso-position-vertical:center;mso-position-vertical-relative:margin" o:allowincell="f" fillcolor="silver" stroked="f">
          <v:fill opacity=".5"/>
          <v:textpath style="font-family:&quot;Calibri&quot;;font-size:1pt" string="DO NOT DISTRIBUTE"/>
          <w10:wrap anchorx="margin" anchory="margin"/>
        </v:shape>
      </w:pict>
    </w:r>
    <w:r w:rsidR="00DA1CBB" w:rsidRPr="00DA1CBB">
      <w:rPr>
        <w:b/>
        <w:bCs/>
      </w:rPr>
      <w:t>for session use only – do not distribute</w:t>
    </w:r>
  </w:p>
  <w:p w14:paraId="58823671" w14:textId="77777777" w:rsidR="00DA1CBB" w:rsidRDefault="00DA1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74F9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844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542BC"/>
    <w:multiLevelType w:val="multilevel"/>
    <w:tmpl w:val="3D44CA50"/>
    <w:numStyleLink w:val="ListStyle123"/>
  </w:abstractNum>
  <w:abstractNum w:abstractNumId="11" w15:restartNumberingAfterBreak="0">
    <w:nsid w:val="01B40268"/>
    <w:multiLevelType w:val="multilevel"/>
    <w:tmpl w:val="1EC496B2"/>
    <w:lvl w:ilvl="0">
      <w:start w:val="1"/>
      <w:numFmt w:val="decimal"/>
      <w:lvlText w:val="%1."/>
      <w:lvlJc w:val="left"/>
      <w:pPr>
        <w:tabs>
          <w:tab w:val="num" w:pos="432"/>
        </w:tabs>
        <w:ind w:left="360" w:hanging="360"/>
      </w:pPr>
      <w:rPr>
        <w:rFonts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2"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3" w15:restartNumberingAfterBreak="0">
    <w:nsid w:val="1EDC13B7"/>
    <w:multiLevelType w:val="multilevel"/>
    <w:tmpl w:val="88B4C196"/>
    <w:numStyleLink w:val="Listbullets"/>
  </w:abstractNum>
  <w:abstractNum w:abstractNumId="14" w15:restartNumberingAfterBreak="0">
    <w:nsid w:val="266B07DA"/>
    <w:multiLevelType w:val="multilevel"/>
    <w:tmpl w:val="BA2E1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2147EF"/>
    <w:multiLevelType w:val="multilevel"/>
    <w:tmpl w:val="88B4C196"/>
    <w:numStyleLink w:val="Listbullets"/>
  </w:abstractNum>
  <w:abstractNum w:abstractNumId="16" w15:restartNumberingAfterBreak="0">
    <w:nsid w:val="31F66893"/>
    <w:multiLevelType w:val="multilevel"/>
    <w:tmpl w:val="448C16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8" w15:restartNumberingAfterBreak="0">
    <w:nsid w:val="3E95087E"/>
    <w:multiLevelType w:val="multilevel"/>
    <w:tmpl w:val="09D6CD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277BB3"/>
    <w:multiLevelType w:val="multilevel"/>
    <w:tmpl w:val="A692C4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81094D"/>
    <w:multiLevelType w:val="multilevel"/>
    <w:tmpl w:val="1020E4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C765D9"/>
    <w:multiLevelType w:val="multilevel"/>
    <w:tmpl w:val="7B500EF4"/>
    <w:lvl w:ilvl="0">
      <w:start w:val="1"/>
      <w:numFmt w:val="decimal"/>
      <w:pStyle w:val="ListNumber"/>
      <w:lvlText w:val="%1."/>
      <w:lvlJc w:val="left"/>
      <w:pPr>
        <w:ind w:left="72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2" w15:restartNumberingAfterBreak="0">
    <w:nsid w:val="4FEF464E"/>
    <w:multiLevelType w:val="multilevel"/>
    <w:tmpl w:val="A50A09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623DC0"/>
    <w:multiLevelType w:val="hybridMultilevel"/>
    <w:tmpl w:val="E7067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BF1500"/>
    <w:multiLevelType w:val="multilevel"/>
    <w:tmpl w:val="A4C0C9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713E93"/>
    <w:multiLevelType w:val="multilevel"/>
    <w:tmpl w:val="92182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A759B4"/>
    <w:multiLevelType w:val="hybridMultilevel"/>
    <w:tmpl w:val="4DF6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358577629">
    <w:abstractNumId w:val="5"/>
  </w:num>
  <w:num w:numId="2" w16cid:durableId="2110542531">
    <w:abstractNumId w:val="1"/>
  </w:num>
  <w:num w:numId="3" w16cid:durableId="645938811">
    <w:abstractNumId w:val="17"/>
  </w:num>
  <w:num w:numId="4" w16cid:durableId="1353609025">
    <w:abstractNumId w:val="28"/>
  </w:num>
  <w:num w:numId="5" w16cid:durableId="1742672887">
    <w:abstractNumId w:val="12"/>
  </w:num>
  <w:num w:numId="6" w16cid:durableId="239294861">
    <w:abstractNumId w:val="10"/>
  </w:num>
  <w:num w:numId="7" w16cid:durableId="2104566156">
    <w:abstractNumId w:val="15"/>
  </w:num>
  <w:num w:numId="8" w16cid:durableId="1284264462">
    <w:abstractNumId w:val="13"/>
  </w:num>
  <w:num w:numId="9" w16cid:durableId="785585303">
    <w:abstractNumId w:val="24"/>
  </w:num>
  <w:num w:numId="10" w16cid:durableId="957377272">
    <w:abstractNumId w:val="21"/>
  </w:num>
  <w:num w:numId="11" w16cid:durableId="1355572520">
    <w:abstractNumId w:val="4"/>
  </w:num>
  <w:num w:numId="12" w16cid:durableId="2005278866">
    <w:abstractNumId w:val="0"/>
  </w:num>
  <w:num w:numId="13" w16cid:durableId="1365718338">
    <w:abstractNumId w:val="7"/>
  </w:num>
  <w:num w:numId="14" w16cid:durableId="716785856">
    <w:abstractNumId w:val="6"/>
  </w:num>
  <w:num w:numId="15" w16cid:durableId="588853434">
    <w:abstractNumId w:val="3"/>
  </w:num>
  <w:num w:numId="16" w16cid:durableId="759838575">
    <w:abstractNumId w:val="2"/>
  </w:num>
  <w:num w:numId="17" w16cid:durableId="1006597847">
    <w:abstractNumId w:val="23"/>
  </w:num>
  <w:num w:numId="18" w16cid:durableId="1971855578">
    <w:abstractNumId w:val="27"/>
  </w:num>
  <w:num w:numId="19" w16cid:durableId="1983121722">
    <w:abstractNumId w:val="9"/>
  </w:num>
  <w:num w:numId="20" w16cid:durableId="965743986">
    <w:abstractNumId w:val="18"/>
  </w:num>
  <w:num w:numId="21" w16cid:durableId="229511300">
    <w:abstractNumId w:val="25"/>
  </w:num>
  <w:num w:numId="22" w16cid:durableId="630020440">
    <w:abstractNumId w:val="20"/>
  </w:num>
  <w:num w:numId="23" w16cid:durableId="1412965956">
    <w:abstractNumId w:val="22"/>
  </w:num>
  <w:num w:numId="24" w16cid:durableId="1531840943">
    <w:abstractNumId w:val="19"/>
  </w:num>
  <w:num w:numId="25" w16cid:durableId="294987760">
    <w:abstractNumId w:val="16"/>
  </w:num>
  <w:num w:numId="26" w16cid:durableId="1658537012">
    <w:abstractNumId w:val="8"/>
  </w:num>
  <w:num w:numId="27" w16cid:durableId="357632944">
    <w:abstractNumId w:val="14"/>
  </w:num>
  <w:num w:numId="28" w16cid:durableId="407532103">
    <w:abstractNumId w:val="26"/>
  </w:num>
  <w:num w:numId="29" w16cid:durableId="213498181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46"/>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0DA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BF1"/>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34BF"/>
    <w:rsid w:val="00304A4C"/>
    <w:rsid w:val="003050F9"/>
    <w:rsid w:val="0030560B"/>
    <w:rsid w:val="00310019"/>
    <w:rsid w:val="003100B0"/>
    <w:rsid w:val="003101F9"/>
    <w:rsid w:val="00311076"/>
    <w:rsid w:val="003117B4"/>
    <w:rsid w:val="00311CBD"/>
    <w:rsid w:val="00312491"/>
    <w:rsid w:val="0031252D"/>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504"/>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4FA8"/>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3469"/>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069F"/>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079"/>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5655"/>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BB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37DA"/>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0A39"/>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2291"/>
    <w:rsid w:val="00773607"/>
    <w:rsid w:val="00773686"/>
    <w:rsid w:val="00773D5E"/>
    <w:rsid w:val="00774009"/>
    <w:rsid w:val="00774050"/>
    <w:rsid w:val="00774493"/>
    <w:rsid w:val="0077458D"/>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9E"/>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C81"/>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9C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17DC"/>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57EF"/>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3C66"/>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57393"/>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85D"/>
    <w:rsid w:val="00D94BF6"/>
    <w:rsid w:val="00D950FA"/>
    <w:rsid w:val="00D95C10"/>
    <w:rsid w:val="00D97264"/>
    <w:rsid w:val="00D97485"/>
    <w:rsid w:val="00D97D67"/>
    <w:rsid w:val="00DA07E5"/>
    <w:rsid w:val="00DA107C"/>
    <w:rsid w:val="00DA1CBB"/>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14C"/>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A61"/>
    <w:rsid w:val="00E71CA5"/>
    <w:rsid w:val="00E72F0E"/>
    <w:rsid w:val="00E73490"/>
    <w:rsid w:val="00E74E00"/>
    <w:rsid w:val="00E74F73"/>
    <w:rsid w:val="00E75997"/>
    <w:rsid w:val="00E75DA7"/>
    <w:rsid w:val="00E76C8D"/>
    <w:rsid w:val="00E76DDD"/>
    <w:rsid w:val="00E76E37"/>
    <w:rsid w:val="00E77B5C"/>
    <w:rsid w:val="00E82876"/>
    <w:rsid w:val="00E82A2D"/>
    <w:rsid w:val="00E8334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7EE"/>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7ED"/>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A59DD"/>
  <w15:docId w15:val="{C50A2A8F-0BBA-48A3-B0EA-B2EB4E16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99"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99"/>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99"/>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semiHidden/>
    <w:unhideWhenUsed/>
    <w:locked/>
    <w:rsid w:val="00E71A61"/>
    <w:pPr>
      <w:suppressAutoHyphens w:val="0"/>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4448">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55135531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178035282">
      <w:bodyDiv w:val="1"/>
      <w:marLeft w:val="0"/>
      <w:marRight w:val="0"/>
      <w:marTop w:val="0"/>
      <w:marBottom w:val="0"/>
      <w:divBdr>
        <w:top w:val="none" w:sz="0" w:space="0" w:color="auto"/>
        <w:left w:val="none" w:sz="0" w:space="0" w:color="auto"/>
        <w:bottom w:val="none" w:sz="0" w:space="0" w:color="auto"/>
        <w:right w:val="none" w:sz="0" w:space="0" w:color="auto"/>
      </w:divBdr>
    </w:div>
    <w:div w:id="1367102707">
      <w:bodyDiv w:val="1"/>
      <w:marLeft w:val="0"/>
      <w:marRight w:val="0"/>
      <w:marTop w:val="0"/>
      <w:marBottom w:val="0"/>
      <w:divBdr>
        <w:top w:val="none" w:sz="0" w:space="0" w:color="auto"/>
        <w:left w:val="none" w:sz="0" w:space="0" w:color="auto"/>
        <w:bottom w:val="none" w:sz="0" w:space="0" w:color="auto"/>
        <w:right w:val="none" w:sz="0" w:space="0" w:color="auto"/>
      </w:divBdr>
    </w:div>
    <w:div w:id="1480149075">
      <w:bodyDiv w:val="1"/>
      <w:marLeft w:val="0"/>
      <w:marRight w:val="0"/>
      <w:marTop w:val="0"/>
      <w:marBottom w:val="0"/>
      <w:divBdr>
        <w:top w:val="none" w:sz="0" w:space="0" w:color="auto"/>
        <w:left w:val="none" w:sz="0" w:space="0" w:color="auto"/>
        <w:bottom w:val="none" w:sz="0" w:space="0" w:color="auto"/>
        <w:right w:val="none" w:sz="0" w:space="0" w:color="auto"/>
      </w:divBdr>
    </w:div>
    <w:div w:id="1546715996">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eses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6E74258BAC841B5F84453FFA21C9D" ma:contentTypeVersion="6" ma:contentTypeDescription="Create a new document." ma:contentTypeScope="" ma:versionID="b64cb185fbbedcfb39c4f7b72839a9cf">
  <xsd:schema xmlns:xsd="http://www.w3.org/2001/XMLSchema" xmlns:xs="http://www.w3.org/2001/XMLSchema" xmlns:p="http://schemas.microsoft.com/office/2006/metadata/properties" xmlns:ns2="dbe9abe1-9de1-437a-b279-ceb05b6d5498" xmlns:ns3="b1c1ecbd-34bd-4195-b575-a8604a0a8a4a" targetNamespace="http://schemas.microsoft.com/office/2006/metadata/properties" ma:root="true" ma:fieldsID="d391c1da6efb4858ff5984f56ca749ce" ns2:_="" ns3:_="">
    <xsd:import namespace="dbe9abe1-9de1-437a-b279-ceb05b6d5498"/>
    <xsd:import namespace="b1c1ecbd-34bd-4195-b575-a8604a0a8a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9abe1-9de1-437a-b279-ceb05b6d5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1ecbd-34bd-4195-b575-a8604a0a8a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C6C54948-A372-4745-8222-2D8DF0EEF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9abe1-9de1-437a-b279-ceb05b6d5498"/>
    <ds:schemaRef ds:uri="b1c1ecbd-34bd-4195-b575-a8604a0a8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F5A84-D146-4B84-B77D-38529A5E057B}">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elements/1.1/"/>
    <ds:schemaRef ds:uri="dbe9abe1-9de1-437a-b279-ceb05b6d5498"/>
    <ds:schemaRef ds:uri="http://purl.org/dc/terms/"/>
    <ds:schemaRef ds:uri="b1c1ecbd-34bd-4195-b575-a8604a0a8a4a"/>
    <ds:schemaRef ds:uri="http://www.w3.org/XML/1998/namespace"/>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7</TotalTime>
  <Pages>3</Pages>
  <Words>634</Words>
  <Characters>3858</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subject/>
  <dc:creator>Shelbi Giesel</dc:creator>
  <cp:keywords/>
  <dc:description>Document template version 2.2</dc:description>
  <cp:lastModifiedBy>Hillstrom, Hayley (MDH)</cp:lastModifiedBy>
  <cp:revision>7</cp:revision>
  <cp:lastPrinted>2016-12-14T18:03:00Z</cp:lastPrinted>
  <dcterms:created xsi:type="dcterms:W3CDTF">2024-10-31T18:55:00Z</dcterms:created>
  <dcterms:modified xsi:type="dcterms:W3CDTF">2024-11-05T19:00:00Z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0x010100DFE6E74258BAC841B5F84453FFA21C9D</vt:lpwstr>
  </property>
  <property fmtid="{D5CDD505-2E9C-101B-9397-08002B2CF9AE}" pid="3" name="_dlc_DocIdItemGuid">
    <vt:lpwstr>21075d31-a098-4126-a0c3-2155733820d1</vt:lpwstr>
  </property>
</Properties>
</file>