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EF785" w14:textId="77777777" w:rsidR="00B94C9F" w:rsidRDefault="00B94C9F" w:rsidP="002C0187">
      <w:pPr>
        <w:pStyle w:val="LOGO"/>
      </w:pPr>
      <w:r>
        <w:drawing>
          <wp:inline distT="0" distB="0" distL="0" distR="0" wp14:anchorId="65B6D816" wp14:editId="328CAB05">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09DF13C9" w14:textId="3E28D544" w:rsidR="009304AF" w:rsidRPr="009304AF" w:rsidRDefault="009304AF" w:rsidP="003F1CB8">
      <w:pPr>
        <w:pStyle w:val="Heading1"/>
        <w:rPr>
          <w:rFonts w:eastAsia="Times New Roman"/>
        </w:rPr>
      </w:pPr>
      <w:r w:rsidRPr="009304AF">
        <w:rPr>
          <w:rFonts w:eastAsia="Times New Roman"/>
        </w:rPr>
        <w:t xml:space="preserve">Opioid Overdose Anomaly Case Study: </w:t>
      </w:r>
      <w:r w:rsidR="003F1CB8">
        <w:rPr>
          <w:rFonts w:eastAsia="Times New Roman"/>
        </w:rPr>
        <w:br/>
      </w:r>
      <w:r w:rsidRPr="009304AF">
        <w:rPr>
          <w:rFonts w:eastAsia="Times New Roman"/>
        </w:rPr>
        <w:t>Ramsey County</w:t>
      </w:r>
    </w:p>
    <w:p w14:paraId="4E06C4E2" w14:textId="228F121C" w:rsidR="009304AF" w:rsidRPr="009304AF" w:rsidRDefault="003F1CB8" w:rsidP="003F1CB8">
      <w:pPr>
        <w:pStyle w:val="Heading2"/>
        <w:rPr>
          <w:rFonts w:eastAsia="Times New Roman"/>
        </w:rPr>
      </w:pPr>
      <w:r>
        <w:rPr>
          <w:rFonts w:eastAsia="Times New Roman"/>
        </w:rPr>
        <w:t>Overview</w:t>
      </w:r>
    </w:p>
    <w:p w14:paraId="60BE4491" w14:textId="03B546AD" w:rsidR="0077131A" w:rsidRPr="0077131A" w:rsidRDefault="009304AF" w:rsidP="003F1CB8">
      <w:pPr>
        <w:pStyle w:val="NormalLtBlueBackground"/>
        <w:rPr>
          <w:rFonts w:eastAsia="Times New Roman"/>
          <w:sz w:val="22"/>
          <w:szCs w:val="20"/>
        </w:rPr>
      </w:pPr>
      <w:r w:rsidRPr="0077131A">
        <w:rPr>
          <w:rFonts w:eastAsia="Times New Roman"/>
          <w:sz w:val="22"/>
          <w:szCs w:val="20"/>
        </w:rPr>
        <w:t xml:space="preserve">Over a 30-hour period from Wednesday </w:t>
      </w:r>
      <w:r w:rsidR="005D543A">
        <w:rPr>
          <w:rFonts w:eastAsia="Times New Roman"/>
          <w:sz w:val="22"/>
          <w:szCs w:val="20"/>
        </w:rPr>
        <w:t>to Friday</w:t>
      </w:r>
      <w:r w:rsidRPr="0077131A">
        <w:rPr>
          <w:rFonts w:eastAsia="Times New Roman"/>
          <w:sz w:val="22"/>
          <w:szCs w:val="20"/>
        </w:rPr>
        <w:t xml:space="preserve">, Ramsey County, specifically Saint Paul, experienced a </w:t>
      </w:r>
      <w:r w:rsidR="00821553" w:rsidRPr="0077131A">
        <w:rPr>
          <w:rFonts w:eastAsia="Times New Roman"/>
          <w:sz w:val="22"/>
          <w:szCs w:val="20"/>
        </w:rPr>
        <w:t>significant</w:t>
      </w:r>
      <w:r w:rsidRPr="0077131A">
        <w:rPr>
          <w:rFonts w:eastAsia="Times New Roman"/>
          <w:sz w:val="22"/>
          <w:szCs w:val="20"/>
        </w:rPr>
        <w:t xml:space="preserve"> increase in opioid overdoses, totaling 14 incident</w:t>
      </w:r>
      <w:r w:rsidR="003F1CB8" w:rsidRPr="0077131A">
        <w:rPr>
          <w:rFonts w:eastAsia="Times New Roman"/>
          <w:sz w:val="22"/>
          <w:szCs w:val="20"/>
        </w:rPr>
        <w:t>s</w:t>
      </w:r>
      <w:r w:rsidR="00EB0B69" w:rsidRPr="0077131A">
        <w:rPr>
          <w:rFonts w:eastAsia="Times New Roman"/>
          <w:sz w:val="22"/>
          <w:szCs w:val="20"/>
        </w:rPr>
        <w:t xml:space="preserve">. </w:t>
      </w:r>
      <w:r w:rsidR="00821553" w:rsidRPr="0077131A">
        <w:rPr>
          <w:rFonts w:eastAsia="Times New Roman"/>
          <w:sz w:val="22"/>
          <w:szCs w:val="20"/>
        </w:rPr>
        <w:t xml:space="preserve">A spike on Thursday, with 10 overdoses, exceeded the </w:t>
      </w:r>
      <w:r w:rsidR="0077131A" w:rsidRPr="0077131A">
        <w:rPr>
          <w:rFonts w:eastAsia="Times New Roman"/>
          <w:sz w:val="22"/>
          <w:szCs w:val="20"/>
        </w:rPr>
        <w:t xml:space="preserve">daily </w:t>
      </w:r>
      <w:r w:rsidR="00821553" w:rsidRPr="0077131A">
        <w:rPr>
          <w:rFonts w:eastAsia="Times New Roman"/>
          <w:sz w:val="22"/>
          <w:szCs w:val="20"/>
        </w:rPr>
        <w:t>moderate threshold and triggered an anomaly alert. Incidents were</w:t>
      </w:r>
      <w:r w:rsidRPr="0077131A">
        <w:rPr>
          <w:rFonts w:eastAsia="Times New Roman"/>
          <w:sz w:val="22"/>
          <w:szCs w:val="20"/>
        </w:rPr>
        <w:t xml:space="preserve"> concentrated in unsheltered facilities, public </w:t>
      </w:r>
      <w:r w:rsidR="00821553" w:rsidRPr="0077131A">
        <w:rPr>
          <w:rFonts w:eastAsia="Times New Roman"/>
          <w:sz w:val="22"/>
          <w:szCs w:val="20"/>
        </w:rPr>
        <w:t>space</w:t>
      </w:r>
      <w:r w:rsidRPr="0077131A">
        <w:rPr>
          <w:rFonts w:eastAsia="Times New Roman"/>
          <w:sz w:val="22"/>
          <w:szCs w:val="20"/>
        </w:rPr>
        <w:t xml:space="preserve">s, and </w:t>
      </w:r>
      <w:r w:rsidR="00821553" w:rsidRPr="0077131A">
        <w:rPr>
          <w:rFonts w:eastAsia="Times New Roman"/>
          <w:sz w:val="22"/>
          <w:szCs w:val="20"/>
        </w:rPr>
        <w:t>law enforcement</w:t>
      </w:r>
      <w:r w:rsidRPr="0077131A">
        <w:rPr>
          <w:rFonts w:eastAsia="Times New Roman"/>
          <w:sz w:val="22"/>
          <w:szCs w:val="20"/>
        </w:rPr>
        <w:t xml:space="preserve"> custody</w:t>
      </w:r>
      <w:r w:rsidR="00821553" w:rsidRPr="0077131A">
        <w:rPr>
          <w:rFonts w:eastAsia="Times New Roman"/>
          <w:sz w:val="22"/>
          <w:szCs w:val="20"/>
        </w:rPr>
        <w:t xml:space="preserve"> (including jails)</w:t>
      </w:r>
      <w:r w:rsidRPr="0077131A">
        <w:rPr>
          <w:rFonts w:eastAsia="Times New Roman"/>
          <w:sz w:val="22"/>
          <w:szCs w:val="20"/>
        </w:rPr>
        <w:t xml:space="preserve">. </w:t>
      </w:r>
      <w:r w:rsidR="00821553" w:rsidRPr="0077131A">
        <w:rPr>
          <w:rFonts w:eastAsia="Times New Roman"/>
          <w:sz w:val="22"/>
          <w:szCs w:val="20"/>
        </w:rPr>
        <w:t>These cases disproportionately affected m</w:t>
      </w:r>
      <w:r w:rsidRPr="0077131A">
        <w:rPr>
          <w:rFonts w:eastAsia="Times New Roman"/>
          <w:sz w:val="22"/>
          <w:szCs w:val="20"/>
        </w:rPr>
        <w:t xml:space="preserve">en, </w:t>
      </w:r>
      <w:r w:rsidR="00821553" w:rsidRPr="0077131A">
        <w:rPr>
          <w:rFonts w:eastAsia="Times New Roman"/>
          <w:sz w:val="22"/>
          <w:szCs w:val="20"/>
        </w:rPr>
        <w:t>especially</w:t>
      </w:r>
      <w:r w:rsidRPr="0077131A">
        <w:rPr>
          <w:rFonts w:eastAsia="Times New Roman"/>
          <w:sz w:val="22"/>
          <w:szCs w:val="20"/>
        </w:rPr>
        <w:t xml:space="preserve"> Black men, </w:t>
      </w:r>
      <w:r w:rsidR="00821553" w:rsidRPr="0077131A">
        <w:rPr>
          <w:rFonts w:eastAsia="Times New Roman"/>
          <w:sz w:val="22"/>
          <w:szCs w:val="20"/>
        </w:rPr>
        <w:t>and</w:t>
      </w:r>
      <w:r w:rsidRPr="0077131A">
        <w:rPr>
          <w:rFonts w:eastAsia="Times New Roman"/>
          <w:sz w:val="22"/>
          <w:szCs w:val="20"/>
        </w:rPr>
        <w:t xml:space="preserve"> </w:t>
      </w:r>
      <w:r w:rsidR="00DB12A6" w:rsidRPr="0077131A">
        <w:rPr>
          <w:rFonts w:eastAsia="Times New Roman"/>
          <w:sz w:val="22"/>
          <w:szCs w:val="20"/>
        </w:rPr>
        <w:t>people</w:t>
      </w:r>
      <w:r w:rsidRPr="0077131A">
        <w:rPr>
          <w:rFonts w:eastAsia="Times New Roman"/>
          <w:sz w:val="22"/>
          <w:szCs w:val="20"/>
        </w:rPr>
        <w:t xml:space="preserve"> experiencing homelessness. </w:t>
      </w:r>
    </w:p>
    <w:p w14:paraId="74BBFB26" w14:textId="218E1658" w:rsidR="009304AF" w:rsidRPr="0077131A" w:rsidRDefault="0077131A" w:rsidP="003F1CB8">
      <w:pPr>
        <w:pStyle w:val="NormalLtBlueBackground"/>
        <w:rPr>
          <w:rFonts w:eastAsia="Times New Roman"/>
          <w:b/>
          <w:bCs/>
          <w:sz w:val="22"/>
          <w:szCs w:val="20"/>
        </w:rPr>
      </w:pPr>
      <w:r w:rsidRPr="0077131A">
        <w:rPr>
          <w:rFonts w:eastAsia="Times New Roman"/>
          <w:b/>
          <w:bCs/>
          <w:sz w:val="22"/>
          <w:szCs w:val="20"/>
        </w:rPr>
        <w:t>As a result</w:t>
      </w:r>
      <w:r w:rsidR="009304AF" w:rsidRPr="0077131A">
        <w:rPr>
          <w:rFonts w:eastAsia="Times New Roman"/>
          <w:b/>
          <w:bCs/>
          <w:sz w:val="22"/>
          <w:szCs w:val="20"/>
        </w:rPr>
        <w:t xml:space="preserve">, the Minnesota Department of Health (MDH) issued a Tier 2 alert, </w:t>
      </w:r>
      <w:r w:rsidRPr="0077131A">
        <w:rPr>
          <w:rFonts w:eastAsia="Times New Roman"/>
          <w:b/>
          <w:bCs/>
          <w:sz w:val="22"/>
          <w:szCs w:val="20"/>
        </w:rPr>
        <w:t>prioritizing targeted response for at-risk groups and coordination among key partners.</w:t>
      </w:r>
    </w:p>
    <w:p w14:paraId="6A9ED3F8" w14:textId="77777777" w:rsidR="009304AF" w:rsidRPr="009304AF" w:rsidRDefault="009304AF" w:rsidP="003F1CB8">
      <w:pPr>
        <w:pStyle w:val="Heading2"/>
        <w:rPr>
          <w:rFonts w:eastAsia="Times New Roman"/>
        </w:rPr>
      </w:pPr>
      <w:r w:rsidRPr="009304AF">
        <w:rPr>
          <w:rFonts w:eastAsia="Times New Roman"/>
        </w:rPr>
        <w:t>Background</w:t>
      </w:r>
    </w:p>
    <w:p w14:paraId="04D8DD29" w14:textId="5C7C4EDF" w:rsidR="0077131A" w:rsidRPr="0077131A" w:rsidRDefault="00EB0B69" w:rsidP="0077131A">
      <w:pPr>
        <w:suppressAutoHyphens w:val="0"/>
        <w:spacing w:before="100" w:beforeAutospacing="1" w:after="100" w:afterAutospacing="1"/>
        <w:rPr>
          <w:rFonts w:asciiTheme="minorHAnsi" w:eastAsia="Times New Roman" w:hAnsiTheme="minorHAnsi" w:cstheme="minorHAnsi"/>
          <w:sz w:val="22"/>
        </w:rPr>
      </w:pPr>
      <w:r w:rsidRPr="0077131A">
        <w:rPr>
          <w:rFonts w:asciiTheme="minorHAnsi" w:eastAsia="Times New Roman" w:hAnsiTheme="minorHAnsi" w:cstheme="minorHAnsi"/>
          <w:sz w:val="22"/>
        </w:rPr>
        <w:t>A moderate alert was triggered in Ramsey County after the number of overdose incidents surpassed the daily moderate threshold, with</w:t>
      </w:r>
      <w:r w:rsidR="009304AF" w:rsidRPr="0077131A">
        <w:rPr>
          <w:rFonts w:asciiTheme="minorHAnsi" w:eastAsia="Times New Roman" w:hAnsiTheme="minorHAnsi" w:cstheme="minorHAnsi"/>
          <w:sz w:val="22"/>
        </w:rPr>
        <w:t xml:space="preserve"> 10 overdoses occurr</w:t>
      </w:r>
      <w:r w:rsidRPr="0077131A">
        <w:rPr>
          <w:rFonts w:asciiTheme="minorHAnsi" w:eastAsia="Times New Roman" w:hAnsiTheme="minorHAnsi" w:cstheme="minorHAnsi"/>
          <w:sz w:val="22"/>
        </w:rPr>
        <w:t>ing</w:t>
      </w:r>
      <w:r w:rsidR="009304AF" w:rsidRPr="0077131A">
        <w:rPr>
          <w:rFonts w:asciiTheme="minorHAnsi" w:eastAsia="Times New Roman" w:hAnsiTheme="minorHAnsi" w:cstheme="minorHAnsi"/>
          <w:sz w:val="22"/>
        </w:rPr>
        <w:t xml:space="preserve"> </w:t>
      </w:r>
      <w:r w:rsidRPr="0077131A">
        <w:rPr>
          <w:rFonts w:asciiTheme="minorHAnsi" w:eastAsia="Times New Roman" w:hAnsiTheme="minorHAnsi" w:cstheme="minorHAnsi"/>
          <w:sz w:val="22"/>
        </w:rPr>
        <w:t>on Thursday</w:t>
      </w:r>
      <w:r w:rsidR="009304AF" w:rsidRPr="0077131A">
        <w:rPr>
          <w:rFonts w:asciiTheme="minorHAnsi" w:eastAsia="Times New Roman" w:hAnsiTheme="minorHAnsi" w:cstheme="minorHAnsi"/>
          <w:sz w:val="22"/>
        </w:rPr>
        <w:t xml:space="preserve">. </w:t>
      </w:r>
      <w:r w:rsidRPr="0077131A">
        <w:rPr>
          <w:rFonts w:asciiTheme="minorHAnsi" w:eastAsia="Times New Roman" w:hAnsiTheme="minorHAnsi" w:cstheme="minorHAnsi"/>
          <w:sz w:val="22"/>
        </w:rPr>
        <w:t>To better assess the scope of the alert,</w:t>
      </w:r>
      <w:r w:rsidR="0077131A" w:rsidRPr="0077131A">
        <w:rPr>
          <w:rFonts w:asciiTheme="minorHAnsi" w:eastAsia="Times New Roman" w:hAnsiTheme="minorHAnsi" w:cstheme="minorHAnsi"/>
          <w:sz w:val="22"/>
        </w:rPr>
        <w:t xml:space="preserve"> MDH examined</w:t>
      </w:r>
      <w:r w:rsidRPr="0077131A">
        <w:rPr>
          <w:rFonts w:asciiTheme="minorHAnsi" w:eastAsia="Times New Roman" w:hAnsiTheme="minorHAnsi" w:cstheme="minorHAnsi"/>
          <w:sz w:val="22"/>
        </w:rPr>
        <w:t xml:space="preserve"> cases from late Wednesday night and early Friday morning </w:t>
      </w:r>
      <w:r w:rsidR="0077131A" w:rsidRPr="0077131A">
        <w:rPr>
          <w:rFonts w:asciiTheme="minorHAnsi" w:eastAsia="Times New Roman" w:hAnsiTheme="minorHAnsi" w:cstheme="minorHAnsi"/>
          <w:sz w:val="22"/>
        </w:rPr>
        <w:t>as well.</w:t>
      </w:r>
      <w:r w:rsidRPr="0077131A">
        <w:rPr>
          <w:rFonts w:asciiTheme="minorHAnsi" w:eastAsia="Times New Roman" w:hAnsiTheme="minorHAnsi" w:cstheme="minorHAnsi"/>
          <w:sz w:val="22"/>
        </w:rPr>
        <w:t xml:space="preserve"> </w:t>
      </w:r>
      <w:r w:rsidR="0077131A" w:rsidRPr="0077131A">
        <w:rPr>
          <w:rFonts w:asciiTheme="minorHAnsi" w:eastAsia="Times New Roman" w:hAnsiTheme="minorHAnsi" w:cstheme="minorHAnsi"/>
          <w:sz w:val="22"/>
        </w:rPr>
        <w:t>Following the alert, MDH conducted an in-depth data review, notifying local partners with “For Information Only” communications to limit dissemination and prevent public concern. Local public health informed their Overdose Spike Response Team (OSRT) of the ongoing review and encouraged reporting relevant information back to MDH. The Tier 2 alert was recommended based on:</w:t>
      </w:r>
    </w:p>
    <w:p w14:paraId="481F1740" w14:textId="4A5047A2" w:rsidR="009304AF" w:rsidRPr="0077131A" w:rsidRDefault="009304AF" w:rsidP="009304AF">
      <w:pPr>
        <w:numPr>
          <w:ilvl w:val="0"/>
          <w:numId w:val="17"/>
        </w:numPr>
        <w:suppressAutoHyphens w:val="0"/>
        <w:spacing w:before="100" w:beforeAutospacing="1" w:after="100" w:afterAutospacing="1"/>
        <w:rPr>
          <w:rFonts w:asciiTheme="minorHAnsi" w:eastAsia="Times New Roman" w:hAnsiTheme="minorHAnsi" w:cstheme="minorHAnsi"/>
          <w:sz w:val="22"/>
        </w:rPr>
      </w:pPr>
      <w:r w:rsidRPr="0077131A">
        <w:rPr>
          <w:rFonts w:asciiTheme="minorHAnsi" w:eastAsia="Times New Roman" w:hAnsiTheme="minorHAnsi" w:cstheme="minorHAnsi"/>
          <w:sz w:val="22"/>
        </w:rPr>
        <w:t xml:space="preserve">Exceeding the </w:t>
      </w:r>
      <w:r w:rsidR="00EB0B69" w:rsidRPr="0077131A">
        <w:rPr>
          <w:rFonts w:asciiTheme="minorHAnsi" w:eastAsia="Times New Roman" w:hAnsiTheme="minorHAnsi" w:cstheme="minorHAnsi"/>
          <w:sz w:val="22"/>
        </w:rPr>
        <w:t>moderate</w:t>
      </w:r>
      <w:r w:rsidRPr="0077131A">
        <w:rPr>
          <w:rFonts w:asciiTheme="minorHAnsi" w:eastAsia="Times New Roman" w:hAnsiTheme="minorHAnsi" w:cstheme="minorHAnsi"/>
          <w:sz w:val="22"/>
        </w:rPr>
        <w:t xml:space="preserve"> threshold for overdose incidents.</w:t>
      </w:r>
    </w:p>
    <w:p w14:paraId="6BCBBD53" w14:textId="0ED337B3" w:rsidR="009304AF" w:rsidRPr="0077131A" w:rsidRDefault="009304AF" w:rsidP="009304AF">
      <w:pPr>
        <w:numPr>
          <w:ilvl w:val="0"/>
          <w:numId w:val="17"/>
        </w:numPr>
        <w:suppressAutoHyphens w:val="0"/>
        <w:spacing w:before="100" w:beforeAutospacing="1" w:after="100" w:afterAutospacing="1"/>
        <w:rPr>
          <w:rFonts w:asciiTheme="minorHAnsi" w:eastAsia="Times New Roman" w:hAnsiTheme="minorHAnsi" w:cstheme="minorHAnsi"/>
          <w:sz w:val="22"/>
        </w:rPr>
      </w:pPr>
      <w:r w:rsidRPr="0077131A">
        <w:rPr>
          <w:rFonts w:asciiTheme="minorHAnsi" w:eastAsia="Times New Roman" w:hAnsiTheme="minorHAnsi" w:cstheme="minorHAnsi"/>
          <w:sz w:val="22"/>
        </w:rPr>
        <w:t xml:space="preserve">Identification of an overdose cluster affecting </w:t>
      </w:r>
      <w:r w:rsidR="0077131A" w:rsidRPr="0077131A">
        <w:rPr>
          <w:rFonts w:asciiTheme="minorHAnsi" w:eastAsia="Times New Roman" w:hAnsiTheme="minorHAnsi" w:cstheme="minorHAnsi"/>
          <w:sz w:val="22"/>
        </w:rPr>
        <w:t>people experiencing homelessness (PEH)</w:t>
      </w:r>
      <w:r w:rsidRPr="0077131A">
        <w:rPr>
          <w:rFonts w:asciiTheme="minorHAnsi" w:eastAsia="Times New Roman" w:hAnsiTheme="minorHAnsi" w:cstheme="minorHAnsi"/>
          <w:sz w:val="22"/>
        </w:rPr>
        <w:t xml:space="preserve"> and those in law enforcement custody.</w:t>
      </w:r>
    </w:p>
    <w:p w14:paraId="16A50FA4" w14:textId="77777777" w:rsidR="0077131A" w:rsidRPr="0077131A" w:rsidRDefault="0077131A" w:rsidP="0077131A">
      <w:pPr>
        <w:rPr>
          <w:rFonts w:eastAsia="Times New Roman"/>
          <w:b/>
          <w:sz w:val="22"/>
          <w:szCs w:val="20"/>
        </w:rPr>
      </w:pPr>
      <w:r w:rsidRPr="0077131A">
        <w:rPr>
          <w:rFonts w:eastAsia="Times New Roman"/>
          <w:sz w:val="22"/>
          <w:szCs w:val="20"/>
        </w:rPr>
        <w:t>MDH recommended focused outreach to affected groups and harm reduction strategies for at-risk populations without broad public messaging.</w:t>
      </w:r>
    </w:p>
    <w:p w14:paraId="69D857FA" w14:textId="74FC85C7" w:rsidR="009304AF" w:rsidRPr="009304AF" w:rsidRDefault="009304AF" w:rsidP="00EB0B69">
      <w:pPr>
        <w:pStyle w:val="Heading2"/>
        <w:rPr>
          <w:rFonts w:eastAsia="Times New Roman"/>
        </w:rPr>
      </w:pPr>
      <w:r w:rsidRPr="009304AF">
        <w:rPr>
          <w:rFonts w:eastAsia="Times New Roman"/>
        </w:rPr>
        <w:t xml:space="preserve">Incident </w:t>
      </w:r>
      <w:r w:rsidR="00EB0B69">
        <w:rPr>
          <w:rFonts w:eastAsia="Times New Roman"/>
        </w:rPr>
        <w:t>Analysis</w:t>
      </w:r>
    </w:p>
    <w:p w14:paraId="2BB3F3AE" w14:textId="0582A8EB" w:rsidR="009304AF" w:rsidRPr="0077131A" w:rsidRDefault="009304AF" w:rsidP="00EB0B69">
      <w:pPr>
        <w:pStyle w:val="ListNumber"/>
        <w:rPr>
          <w:rFonts w:eastAsia="Times New Roman"/>
          <w:sz w:val="22"/>
          <w:szCs w:val="20"/>
        </w:rPr>
      </w:pPr>
      <w:r w:rsidRPr="0077131A">
        <w:rPr>
          <w:rFonts w:eastAsia="Times New Roman"/>
          <w:b/>
          <w:bCs/>
          <w:sz w:val="22"/>
          <w:szCs w:val="20"/>
        </w:rPr>
        <w:t>Extent and Duration of Anomaly:</w:t>
      </w:r>
      <w:r w:rsidRPr="0077131A">
        <w:rPr>
          <w:rFonts w:eastAsia="Times New Roman"/>
          <w:sz w:val="22"/>
          <w:szCs w:val="20"/>
        </w:rPr>
        <w:t xml:space="preserve"> Fourteen opioid overdoses </w:t>
      </w:r>
      <w:r w:rsidR="0077131A" w:rsidRPr="0077131A">
        <w:rPr>
          <w:rFonts w:eastAsia="Times New Roman"/>
          <w:sz w:val="22"/>
          <w:szCs w:val="20"/>
        </w:rPr>
        <w:t>over 30 hours in Ramsey County.</w:t>
      </w:r>
    </w:p>
    <w:p w14:paraId="3198163B" w14:textId="1702CA52" w:rsidR="009304AF" w:rsidRPr="0077131A" w:rsidRDefault="009304AF" w:rsidP="00EB0B69">
      <w:pPr>
        <w:pStyle w:val="ListNumber"/>
        <w:rPr>
          <w:rFonts w:eastAsia="Times New Roman"/>
          <w:sz w:val="22"/>
          <w:szCs w:val="20"/>
        </w:rPr>
      </w:pPr>
      <w:r w:rsidRPr="0077131A">
        <w:rPr>
          <w:rFonts w:eastAsia="Times New Roman"/>
          <w:b/>
          <w:bCs/>
          <w:sz w:val="22"/>
          <w:szCs w:val="20"/>
        </w:rPr>
        <w:t>Substance Involvement and Routes of Administration:</w:t>
      </w:r>
      <w:r w:rsidRPr="0077131A">
        <w:rPr>
          <w:rFonts w:eastAsia="Times New Roman"/>
          <w:sz w:val="22"/>
          <w:szCs w:val="20"/>
        </w:rPr>
        <w:t xml:space="preserve"> All patients responded to naloxone. S</w:t>
      </w:r>
      <w:r w:rsidR="00EB0B69" w:rsidRPr="0077131A">
        <w:rPr>
          <w:rFonts w:eastAsia="Times New Roman"/>
          <w:sz w:val="22"/>
          <w:szCs w:val="20"/>
        </w:rPr>
        <w:t>pecific substance details were</w:t>
      </w:r>
      <w:r w:rsidRPr="0077131A">
        <w:rPr>
          <w:rFonts w:eastAsia="Times New Roman"/>
          <w:sz w:val="22"/>
          <w:szCs w:val="20"/>
        </w:rPr>
        <w:t xml:space="preserve"> available </w:t>
      </w:r>
      <w:r w:rsidR="0077131A" w:rsidRPr="0077131A">
        <w:rPr>
          <w:rFonts w:eastAsia="Times New Roman"/>
          <w:sz w:val="22"/>
          <w:szCs w:val="20"/>
        </w:rPr>
        <w:t>in 57% of cases, with reports of:</w:t>
      </w:r>
    </w:p>
    <w:p w14:paraId="32999BDE" w14:textId="77777777" w:rsidR="009304AF" w:rsidRPr="0077131A" w:rsidRDefault="009304AF" w:rsidP="00EB0B69">
      <w:pPr>
        <w:pStyle w:val="ListNumber"/>
        <w:numPr>
          <w:ilvl w:val="1"/>
          <w:numId w:val="10"/>
        </w:numPr>
        <w:rPr>
          <w:rFonts w:eastAsia="Times New Roman"/>
          <w:sz w:val="22"/>
          <w:szCs w:val="20"/>
        </w:rPr>
      </w:pPr>
      <w:r w:rsidRPr="0077131A">
        <w:rPr>
          <w:rFonts w:eastAsia="Times New Roman"/>
          <w:sz w:val="22"/>
          <w:szCs w:val="20"/>
        </w:rPr>
        <w:t>Smoked marijuana cigarette</w:t>
      </w:r>
    </w:p>
    <w:p w14:paraId="49FD6399" w14:textId="77777777" w:rsidR="009304AF" w:rsidRPr="0077131A" w:rsidRDefault="009304AF" w:rsidP="00EB0B69">
      <w:pPr>
        <w:pStyle w:val="ListNumber"/>
        <w:numPr>
          <w:ilvl w:val="1"/>
          <w:numId w:val="10"/>
        </w:numPr>
        <w:rPr>
          <w:rFonts w:eastAsia="Times New Roman"/>
          <w:sz w:val="22"/>
          <w:szCs w:val="20"/>
        </w:rPr>
      </w:pPr>
      <w:r w:rsidRPr="0077131A">
        <w:rPr>
          <w:rFonts w:eastAsia="Times New Roman"/>
          <w:sz w:val="22"/>
          <w:szCs w:val="20"/>
        </w:rPr>
        <w:t>Blue pills ingested rectally</w:t>
      </w:r>
    </w:p>
    <w:p w14:paraId="18E2B728" w14:textId="77777777" w:rsidR="009304AF" w:rsidRPr="0077131A" w:rsidRDefault="009304AF" w:rsidP="00EB0B69">
      <w:pPr>
        <w:pStyle w:val="ListNumber"/>
        <w:numPr>
          <w:ilvl w:val="1"/>
          <w:numId w:val="10"/>
        </w:numPr>
        <w:rPr>
          <w:rFonts w:eastAsia="Times New Roman"/>
          <w:sz w:val="22"/>
          <w:szCs w:val="20"/>
        </w:rPr>
      </w:pPr>
      <w:r w:rsidRPr="0077131A">
        <w:rPr>
          <w:rFonts w:eastAsia="Times New Roman"/>
          <w:sz w:val="22"/>
          <w:szCs w:val="20"/>
        </w:rPr>
        <w:lastRenderedPageBreak/>
        <w:t>Smoked substance containing fentanyl</w:t>
      </w:r>
    </w:p>
    <w:p w14:paraId="4C993373" w14:textId="77777777" w:rsidR="009304AF" w:rsidRPr="0077131A" w:rsidRDefault="009304AF" w:rsidP="00EB0B69">
      <w:pPr>
        <w:pStyle w:val="ListNumber"/>
        <w:numPr>
          <w:ilvl w:val="1"/>
          <w:numId w:val="10"/>
        </w:numPr>
        <w:rPr>
          <w:rFonts w:eastAsia="Times New Roman"/>
          <w:sz w:val="22"/>
          <w:szCs w:val="20"/>
        </w:rPr>
      </w:pPr>
      <w:r w:rsidRPr="0077131A">
        <w:rPr>
          <w:rFonts w:eastAsia="Times New Roman"/>
          <w:sz w:val="22"/>
          <w:szCs w:val="20"/>
        </w:rPr>
        <w:t>Percocet mixed with fentanyl dust</w:t>
      </w:r>
    </w:p>
    <w:p w14:paraId="2C57AC47" w14:textId="77777777" w:rsidR="009304AF" w:rsidRPr="0077131A" w:rsidRDefault="009304AF" w:rsidP="00EB0B69">
      <w:pPr>
        <w:pStyle w:val="ListNumber"/>
        <w:numPr>
          <w:ilvl w:val="1"/>
          <w:numId w:val="10"/>
        </w:numPr>
        <w:rPr>
          <w:rFonts w:eastAsia="Times New Roman"/>
          <w:sz w:val="22"/>
          <w:szCs w:val="20"/>
        </w:rPr>
      </w:pPr>
      <w:r w:rsidRPr="0077131A">
        <w:rPr>
          <w:rFonts w:eastAsia="Times New Roman"/>
          <w:sz w:val="22"/>
          <w:szCs w:val="20"/>
        </w:rPr>
        <w:t>Attempted to smoke crack, potentially mixed with heroin</w:t>
      </w:r>
    </w:p>
    <w:p w14:paraId="3A78F00B" w14:textId="77777777" w:rsidR="009304AF" w:rsidRPr="0077131A" w:rsidRDefault="009304AF" w:rsidP="00EB0B69">
      <w:pPr>
        <w:pStyle w:val="ListNumber"/>
        <w:numPr>
          <w:ilvl w:val="1"/>
          <w:numId w:val="10"/>
        </w:numPr>
        <w:rPr>
          <w:rFonts w:eastAsia="Times New Roman"/>
          <w:sz w:val="22"/>
          <w:szCs w:val="20"/>
        </w:rPr>
      </w:pPr>
      <w:r w:rsidRPr="0077131A">
        <w:rPr>
          <w:rFonts w:eastAsia="Times New Roman"/>
          <w:sz w:val="22"/>
          <w:szCs w:val="20"/>
        </w:rPr>
        <w:t>Witnessed smoking an unidentified substance outside</w:t>
      </w:r>
    </w:p>
    <w:p w14:paraId="4C9D9E14" w14:textId="77777777" w:rsidR="009304AF" w:rsidRPr="0077131A" w:rsidRDefault="009304AF" w:rsidP="00EB0B69">
      <w:pPr>
        <w:pStyle w:val="ListNumber"/>
        <w:numPr>
          <w:ilvl w:val="1"/>
          <w:numId w:val="10"/>
        </w:numPr>
        <w:rPr>
          <w:rFonts w:eastAsia="Times New Roman"/>
          <w:sz w:val="22"/>
          <w:szCs w:val="20"/>
        </w:rPr>
      </w:pPr>
      <w:r w:rsidRPr="0077131A">
        <w:rPr>
          <w:rFonts w:eastAsia="Times New Roman"/>
          <w:sz w:val="22"/>
          <w:szCs w:val="20"/>
        </w:rPr>
        <w:t>Believed heroin ingestion</w:t>
      </w:r>
    </w:p>
    <w:p w14:paraId="55C63510" w14:textId="77777777" w:rsidR="009304AF" w:rsidRPr="0077131A" w:rsidRDefault="009304AF" w:rsidP="00EB0B69">
      <w:pPr>
        <w:pStyle w:val="ListNumber"/>
        <w:numPr>
          <w:ilvl w:val="1"/>
          <w:numId w:val="10"/>
        </w:numPr>
        <w:rPr>
          <w:rFonts w:eastAsia="Times New Roman"/>
          <w:sz w:val="22"/>
          <w:szCs w:val="20"/>
        </w:rPr>
      </w:pPr>
      <w:r w:rsidRPr="0077131A">
        <w:rPr>
          <w:rFonts w:eastAsia="Times New Roman"/>
          <w:sz w:val="22"/>
          <w:szCs w:val="20"/>
        </w:rPr>
        <w:t>Percocet</w:t>
      </w:r>
    </w:p>
    <w:p w14:paraId="2FEE91D0" w14:textId="12AECB31" w:rsidR="009304AF" w:rsidRPr="0077131A" w:rsidRDefault="009304AF" w:rsidP="00EB0B69">
      <w:pPr>
        <w:pStyle w:val="ListNumber"/>
        <w:rPr>
          <w:rFonts w:eastAsia="Times New Roman"/>
          <w:sz w:val="22"/>
          <w:szCs w:val="20"/>
        </w:rPr>
      </w:pPr>
      <w:r w:rsidRPr="0077131A">
        <w:rPr>
          <w:rFonts w:eastAsia="Times New Roman"/>
          <w:b/>
          <w:bCs/>
          <w:sz w:val="22"/>
          <w:szCs w:val="20"/>
        </w:rPr>
        <w:t>Geographical Concentration:</w:t>
      </w:r>
      <w:r w:rsidRPr="0077131A">
        <w:rPr>
          <w:rFonts w:eastAsia="Times New Roman"/>
          <w:sz w:val="22"/>
          <w:szCs w:val="20"/>
        </w:rPr>
        <w:t xml:space="preserve"> All but one incident occurred in Saint Paul, with the other </w:t>
      </w:r>
      <w:r w:rsidR="0077131A" w:rsidRPr="0077131A">
        <w:rPr>
          <w:rFonts w:eastAsia="Times New Roman"/>
          <w:sz w:val="22"/>
          <w:szCs w:val="20"/>
        </w:rPr>
        <w:t xml:space="preserve">occurred in </w:t>
      </w:r>
      <w:r w:rsidR="001B37B1">
        <w:rPr>
          <w:rFonts w:eastAsia="Times New Roman"/>
          <w:sz w:val="22"/>
          <w:szCs w:val="20"/>
        </w:rPr>
        <w:t>a bordering city</w:t>
      </w:r>
      <w:r w:rsidR="0077131A" w:rsidRPr="0077131A">
        <w:rPr>
          <w:rFonts w:eastAsia="Times New Roman"/>
          <w:sz w:val="22"/>
          <w:szCs w:val="20"/>
        </w:rPr>
        <w:t>.</w:t>
      </w:r>
    </w:p>
    <w:p w14:paraId="6E5C9AB9" w14:textId="77777777" w:rsidR="009304AF" w:rsidRPr="0077131A" w:rsidRDefault="009304AF" w:rsidP="00EB0B69">
      <w:pPr>
        <w:pStyle w:val="ListNumber"/>
        <w:rPr>
          <w:rFonts w:eastAsia="Times New Roman"/>
          <w:sz w:val="22"/>
          <w:szCs w:val="20"/>
        </w:rPr>
      </w:pPr>
      <w:r w:rsidRPr="0077131A">
        <w:rPr>
          <w:rFonts w:eastAsia="Times New Roman"/>
          <w:b/>
          <w:bCs/>
          <w:sz w:val="22"/>
          <w:szCs w:val="20"/>
        </w:rPr>
        <w:t>Location and Circumstances of Discovery:</w:t>
      </w:r>
    </w:p>
    <w:p w14:paraId="71A893F4" w14:textId="1071A36A" w:rsidR="009304AF" w:rsidRPr="0077131A" w:rsidRDefault="009304AF" w:rsidP="00E52D23">
      <w:pPr>
        <w:pStyle w:val="ListNumber"/>
        <w:numPr>
          <w:ilvl w:val="1"/>
          <w:numId w:val="10"/>
        </w:numPr>
        <w:rPr>
          <w:rFonts w:eastAsia="Times New Roman"/>
          <w:sz w:val="22"/>
          <w:szCs w:val="20"/>
        </w:rPr>
      </w:pPr>
      <w:r w:rsidRPr="0077131A">
        <w:rPr>
          <w:rFonts w:eastAsia="Times New Roman"/>
          <w:b/>
          <w:bCs/>
          <w:sz w:val="22"/>
          <w:szCs w:val="20"/>
        </w:rPr>
        <w:t>Unsheltered Facilities and Public Spaces:</w:t>
      </w:r>
      <w:r w:rsidRPr="0077131A">
        <w:rPr>
          <w:rFonts w:eastAsia="Times New Roman"/>
          <w:sz w:val="22"/>
          <w:szCs w:val="20"/>
        </w:rPr>
        <w:t xml:space="preserve"> Over half the overdoses occurred in unsheltered facilities and public spaces, such as streets and transit.</w:t>
      </w:r>
    </w:p>
    <w:p w14:paraId="6B40F571" w14:textId="13323B9F" w:rsidR="009304AF" w:rsidRPr="0077131A" w:rsidRDefault="009304AF" w:rsidP="00E52D23">
      <w:pPr>
        <w:pStyle w:val="ListNumber"/>
        <w:numPr>
          <w:ilvl w:val="1"/>
          <w:numId w:val="10"/>
        </w:numPr>
        <w:rPr>
          <w:rFonts w:eastAsia="Times New Roman"/>
          <w:sz w:val="22"/>
          <w:szCs w:val="20"/>
        </w:rPr>
      </w:pPr>
      <w:r w:rsidRPr="0077131A">
        <w:rPr>
          <w:rFonts w:eastAsia="Times New Roman"/>
          <w:b/>
          <w:bCs/>
          <w:sz w:val="22"/>
          <w:szCs w:val="20"/>
        </w:rPr>
        <w:t>Law Enforcement Custody:</w:t>
      </w:r>
      <w:r w:rsidRPr="0077131A">
        <w:rPr>
          <w:rFonts w:eastAsia="Times New Roman"/>
          <w:sz w:val="22"/>
          <w:szCs w:val="20"/>
        </w:rPr>
        <w:t xml:space="preserve"> Three </w:t>
      </w:r>
      <w:r w:rsidR="0077131A" w:rsidRPr="0077131A">
        <w:rPr>
          <w:rFonts w:eastAsia="Times New Roman"/>
          <w:sz w:val="22"/>
          <w:szCs w:val="20"/>
        </w:rPr>
        <w:t>cases were in police custody, including two in jail.</w:t>
      </w:r>
    </w:p>
    <w:p w14:paraId="3614EF5B" w14:textId="77777777" w:rsidR="009304AF" w:rsidRPr="0077131A" w:rsidRDefault="009304AF" w:rsidP="00EB0B69">
      <w:pPr>
        <w:pStyle w:val="ListNumber"/>
        <w:rPr>
          <w:rFonts w:eastAsia="Times New Roman"/>
          <w:sz w:val="22"/>
          <w:szCs w:val="20"/>
        </w:rPr>
      </w:pPr>
      <w:r w:rsidRPr="0077131A">
        <w:rPr>
          <w:rFonts w:eastAsia="Times New Roman"/>
          <w:b/>
          <w:bCs/>
          <w:sz w:val="22"/>
          <w:szCs w:val="20"/>
        </w:rPr>
        <w:t>Demographics:</w:t>
      </w:r>
    </w:p>
    <w:p w14:paraId="5C2F40E9" w14:textId="5820507E" w:rsidR="009304AF" w:rsidRPr="0077131A" w:rsidRDefault="009304AF" w:rsidP="00E52D23">
      <w:pPr>
        <w:pStyle w:val="ListNumber"/>
        <w:numPr>
          <w:ilvl w:val="1"/>
          <w:numId w:val="10"/>
        </w:numPr>
        <w:rPr>
          <w:rFonts w:eastAsia="Times New Roman"/>
          <w:sz w:val="22"/>
          <w:szCs w:val="20"/>
        </w:rPr>
      </w:pPr>
      <w:r w:rsidRPr="0077131A">
        <w:rPr>
          <w:rFonts w:eastAsia="Times New Roman"/>
          <w:b/>
          <w:bCs/>
          <w:sz w:val="22"/>
          <w:szCs w:val="20"/>
        </w:rPr>
        <w:t>Gender:</w:t>
      </w:r>
      <w:r w:rsidRPr="0077131A">
        <w:rPr>
          <w:rFonts w:eastAsia="Times New Roman"/>
          <w:sz w:val="22"/>
          <w:szCs w:val="20"/>
        </w:rPr>
        <w:t xml:space="preserve"> Men </w:t>
      </w:r>
      <w:r w:rsidR="0077131A" w:rsidRPr="0077131A">
        <w:rPr>
          <w:rFonts w:eastAsia="Times New Roman"/>
          <w:sz w:val="22"/>
          <w:szCs w:val="20"/>
        </w:rPr>
        <w:t>represented</w:t>
      </w:r>
      <w:r w:rsidRPr="0077131A">
        <w:rPr>
          <w:rFonts w:eastAsia="Times New Roman"/>
          <w:sz w:val="22"/>
          <w:szCs w:val="20"/>
        </w:rPr>
        <w:t xml:space="preserve"> 79% of cases.</w:t>
      </w:r>
    </w:p>
    <w:p w14:paraId="1BDA1618" w14:textId="06B2A75E" w:rsidR="009304AF" w:rsidRPr="0077131A" w:rsidRDefault="009304AF" w:rsidP="00E52D23">
      <w:pPr>
        <w:pStyle w:val="ListNumber"/>
        <w:numPr>
          <w:ilvl w:val="1"/>
          <w:numId w:val="10"/>
        </w:numPr>
        <w:rPr>
          <w:rFonts w:eastAsia="Times New Roman"/>
          <w:sz w:val="22"/>
          <w:szCs w:val="20"/>
        </w:rPr>
      </w:pPr>
      <w:r w:rsidRPr="0077131A">
        <w:rPr>
          <w:rFonts w:eastAsia="Times New Roman"/>
          <w:b/>
          <w:bCs/>
          <w:sz w:val="22"/>
          <w:szCs w:val="20"/>
        </w:rPr>
        <w:t>Race:</w:t>
      </w:r>
      <w:r w:rsidRPr="0077131A">
        <w:rPr>
          <w:rFonts w:eastAsia="Times New Roman"/>
          <w:sz w:val="22"/>
          <w:szCs w:val="20"/>
        </w:rPr>
        <w:t xml:space="preserve"> Black </w:t>
      </w:r>
      <w:r w:rsidR="0077131A" w:rsidRPr="0077131A">
        <w:rPr>
          <w:rFonts w:eastAsia="Times New Roman"/>
          <w:sz w:val="22"/>
          <w:szCs w:val="20"/>
        </w:rPr>
        <w:t xml:space="preserve">people </w:t>
      </w:r>
      <w:r w:rsidRPr="0077131A">
        <w:rPr>
          <w:rFonts w:eastAsia="Times New Roman"/>
          <w:sz w:val="22"/>
          <w:szCs w:val="20"/>
        </w:rPr>
        <w:t>comprised 50% of cases, with Black men representing 43%.</w:t>
      </w:r>
    </w:p>
    <w:p w14:paraId="371AEA79" w14:textId="73C81A8B" w:rsidR="00821553" w:rsidRPr="0077131A" w:rsidRDefault="009304AF" w:rsidP="00821553">
      <w:pPr>
        <w:pStyle w:val="ListNumber"/>
        <w:numPr>
          <w:ilvl w:val="1"/>
          <w:numId w:val="10"/>
        </w:numPr>
        <w:rPr>
          <w:rFonts w:eastAsia="Times New Roman"/>
          <w:b/>
          <w:sz w:val="22"/>
          <w:szCs w:val="20"/>
        </w:rPr>
      </w:pPr>
      <w:r w:rsidRPr="0077131A">
        <w:rPr>
          <w:rFonts w:eastAsia="Times New Roman"/>
          <w:b/>
          <w:bCs/>
          <w:sz w:val="22"/>
          <w:szCs w:val="20"/>
        </w:rPr>
        <w:t>Social Vulnerability:</w:t>
      </w:r>
      <w:r w:rsidRPr="0077131A">
        <w:rPr>
          <w:rFonts w:eastAsia="Times New Roman"/>
          <w:sz w:val="22"/>
          <w:szCs w:val="20"/>
        </w:rPr>
        <w:t xml:space="preserve"> Many affected were experiencing homelessness, </w:t>
      </w:r>
      <w:r w:rsidR="0077131A" w:rsidRPr="0077131A">
        <w:rPr>
          <w:rFonts w:eastAsia="Times New Roman"/>
          <w:sz w:val="22"/>
          <w:szCs w:val="20"/>
        </w:rPr>
        <w:t>highlighting housing and service access vulnerabilities.</w:t>
      </w:r>
    </w:p>
    <w:p w14:paraId="3E31D1AC" w14:textId="19FA6C56" w:rsidR="009304AF" w:rsidRPr="009304AF" w:rsidRDefault="009304AF" w:rsidP="00821553">
      <w:pPr>
        <w:pStyle w:val="Heading2"/>
        <w:rPr>
          <w:rFonts w:eastAsia="Times New Roman"/>
        </w:rPr>
      </w:pPr>
      <w:r w:rsidRPr="009304AF">
        <w:rPr>
          <w:rFonts w:eastAsia="Times New Roman"/>
        </w:rPr>
        <w:t>Key Risk Factors</w:t>
      </w:r>
    </w:p>
    <w:p w14:paraId="3FA496D1" w14:textId="49E28651" w:rsidR="009304AF" w:rsidRPr="0077131A" w:rsidRDefault="009304AF" w:rsidP="00821553">
      <w:pPr>
        <w:pStyle w:val="ListBullet"/>
        <w:rPr>
          <w:rFonts w:eastAsia="Times New Roman"/>
          <w:sz w:val="22"/>
          <w:szCs w:val="20"/>
        </w:rPr>
      </w:pPr>
      <w:r w:rsidRPr="0077131A">
        <w:rPr>
          <w:rFonts w:eastAsia="Times New Roman"/>
          <w:b/>
          <w:bCs/>
          <w:sz w:val="22"/>
          <w:szCs w:val="20"/>
        </w:rPr>
        <w:t>Polysubstance Use</w:t>
      </w:r>
      <w:r w:rsidR="0077131A" w:rsidRPr="0077131A">
        <w:rPr>
          <w:rFonts w:eastAsia="Times New Roman"/>
          <w:b/>
          <w:bCs/>
          <w:sz w:val="22"/>
          <w:szCs w:val="20"/>
        </w:rPr>
        <w:t>:</w:t>
      </w:r>
      <w:r w:rsidR="0077131A" w:rsidRPr="0077131A">
        <w:rPr>
          <w:rFonts w:eastAsia="Times New Roman"/>
          <w:sz w:val="22"/>
          <w:szCs w:val="20"/>
        </w:rPr>
        <w:t xml:space="preserve"> Incidents involved a range of drugs, often unknowingly mixed with opioids.</w:t>
      </w:r>
    </w:p>
    <w:p w14:paraId="6B988C81" w14:textId="5F5F1235" w:rsidR="009304AF" w:rsidRPr="0077131A" w:rsidRDefault="00821553" w:rsidP="00821553">
      <w:pPr>
        <w:pStyle w:val="ListBullet"/>
        <w:rPr>
          <w:rFonts w:eastAsia="Times New Roman"/>
          <w:sz w:val="22"/>
          <w:szCs w:val="20"/>
        </w:rPr>
      </w:pPr>
      <w:r w:rsidRPr="0077131A">
        <w:rPr>
          <w:rFonts w:eastAsia="Times New Roman"/>
          <w:b/>
          <w:bCs/>
          <w:sz w:val="22"/>
          <w:szCs w:val="20"/>
        </w:rPr>
        <w:t xml:space="preserve">Inhalation as a Common </w:t>
      </w:r>
      <w:r w:rsidR="009304AF" w:rsidRPr="0077131A">
        <w:rPr>
          <w:rFonts w:eastAsia="Times New Roman"/>
          <w:b/>
          <w:bCs/>
          <w:sz w:val="22"/>
          <w:szCs w:val="20"/>
        </w:rPr>
        <w:t>Route</w:t>
      </w:r>
      <w:r w:rsidR="0077131A" w:rsidRPr="0077131A">
        <w:rPr>
          <w:rFonts w:eastAsia="Times New Roman"/>
          <w:b/>
          <w:bCs/>
          <w:sz w:val="22"/>
          <w:szCs w:val="20"/>
        </w:rPr>
        <w:t>:</w:t>
      </w:r>
      <w:r w:rsidR="0077131A" w:rsidRPr="0077131A">
        <w:rPr>
          <w:rFonts w:eastAsia="Times New Roman"/>
          <w:sz w:val="22"/>
          <w:szCs w:val="20"/>
        </w:rPr>
        <w:t xml:space="preserve"> smoking substances is increasingly common, requiring tailored harm reduction.</w:t>
      </w:r>
    </w:p>
    <w:p w14:paraId="4F54D918" w14:textId="6EEEB072" w:rsidR="009304AF" w:rsidRPr="0077131A" w:rsidRDefault="009304AF" w:rsidP="00821553">
      <w:pPr>
        <w:pStyle w:val="ListBullet"/>
        <w:rPr>
          <w:rFonts w:eastAsia="Times New Roman"/>
          <w:sz w:val="22"/>
          <w:szCs w:val="20"/>
        </w:rPr>
      </w:pPr>
      <w:r w:rsidRPr="0077131A">
        <w:rPr>
          <w:rFonts w:eastAsia="Times New Roman"/>
          <w:b/>
          <w:bCs/>
          <w:sz w:val="22"/>
          <w:szCs w:val="20"/>
        </w:rPr>
        <w:t>High-Risk Environments</w:t>
      </w:r>
      <w:r w:rsidR="0077131A" w:rsidRPr="0077131A">
        <w:rPr>
          <w:rFonts w:eastAsia="Times New Roman"/>
          <w:b/>
          <w:bCs/>
          <w:sz w:val="22"/>
          <w:szCs w:val="20"/>
        </w:rPr>
        <w:t>:</w:t>
      </w:r>
      <w:r w:rsidR="0077131A" w:rsidRPr="0077131A">
        <w:rPr>
          <w:rFonts w:eastAsia="Times New Roman"/>
          <w:sz w:val="22"/>
          <w:szCs w:val="20"/>
        </w:rPr>
        <w:t xml:space="preserve"> Overdoses frequently occurred in shelters, public transit, and jail settings.</w:t>
      </w:r>
    </w:p>
    <w:p w14:paraId="3634269D" w14:textId="0ACC970F" w:rsidR="009304AF" w:rsidRPr="0077131A" w:rsidRDefault="009304AF" w:rsidP="00821553">
      <w:pPr>
        <w:pStyle w:val="ListBullet"/>
        <w:rPr>
          <w:rFonts w:eastAsia="Times New Roman"/>
          <w:sz w:val="22"/>
          <w:szCs w:val="20"/>
        </w:rPr>
      </w:pPr>
      <w:r w:rsidRPr="0077131A">
        <w:rPr>
          <w:rFonts w:eastAsia="Times New Roman"/>
          <w:b/>
          <w:bCs/>
          <w:sz w:val="22"/>
          <w:szCs w:val="20"/>
        </w:rPr>
        <w:t xml:space="preserve">Black Men and </w:t>
      </w:r>
      <w:r w:rsidR="0077131A" w:rsidRPr="0077131A">
        <w:rPr>
          <w:rFonts w:eastAsia="Times New Roman"/>
          <w:b/>
          <w:bCs/>
          <w:sz w:val="22"/>
          <w:szCs w:val="20"/>
        </w:rPr>
        <w:t>PEH:</w:t>
      </w:r>
      <w:r w:rsidR="0077131A" w:rsidRPr="0077131A">
        <w:rPr>
          <w:rFonts w:eastAsia="Times New Roman"/>
          <w:sz w:val="22"/>
          <w:szCs w:val="20"/>
        </w:rPr>
        <w:t xml:space="preserve"> Black men and PEH were disproportionately represented.</w:t>
      </w:r>
    </w:p>
    <w:p w14:paraId="72D80EA5" w14:textId="61CEAA7F" w:rsidR="00CC4911" w:rsidRPr="0077131A" w:rsidRDefault="00821553" w:rsidP="00821553">
      <w:pPr>
        <w:pStyle w:val="ListBullet"/>
        <w:rPr>
          <w:sz w:val="22"/>
          <w:szCs w:val="20"/>
        </w:rPr>
      </w:pPr>
      <w:r w:rsidRPr="0077131A">
        <w:rPr>
          <w:rFonts w:eastAsia="Times New Roman"/>
          <w:b/>
          <w:bCs/>
          <w:sz w:val="22"/>
          <w:szCs w:val="20"/>
        </w:rPr>
        <w:t>Challenges Following Overdose Reversal</w:t>
      </w:r>
      <w:r w:rsidR="0077131A" w:rsidRPr="0077131A">
        <w:rPr>
          <w:rFonts w:eastAsia="Times New Roman"/>
          <w:b/>
          <w:bCs/>
          <w:sz w:val="22"/>
          <w:szCs w:val="20"/>
        </w:rPr>
        <w:t>:</w:t>
      </w:r>
      <w:r w:rsidR="0077131A" w:rsidRPr="0077131A">
        <w:rPr>
          <w:rFonts w:eastAsia="Times New Roman"/>
          <w:sz w:val="22"/>
          <w:szCs w:val="20"/>
        </w:rPr>
        <w:t xml:space="preserve"> </w:t>
      </w:r>
      <w:r w:rsidR="0077131A">
        <w:rPr>
          <w:rFonts w:eastAsia="Times New Roman"/>
          <w:sz w:val="22"/>
          <w:szCs w:val="20"/>
        </w:rPr>
        <w:t>M</w:t>
      </w:r>
      <w:r w:rsidR="0077131A" w:rsidRPr="0077131A">
        <w:rPr>
          <w:rFonts w:eastAsia="Times New Roman"/>
          <w:sz w:val="22"/>
          <w:szCs w:val="20"/>
        </w:rPr>
        <w:t>any survivors lacked follow-up resources, highlighting a need for sustained interventions.</w:t>
      </w:r>
    </w:p>
    <w:p w14:paraId="62881DDF" w14:textId="5F747B82" w:rsidR="0077131A" w:rsidRDefault="0077131A" w:rsidP="0077131A">
      <w:pPr>
        <w:pStyle w:val="Heading2"/>
      </w:pPr>
      <w:r>
        <w:t>Recommended Actions</w:t>
      </w:r>
    </w:p>
    <w:p w14:paraId="3CFCC83E" w14:textId="268C99BD" w:rsidR="0077131A" w:rsidRPr="0077131A" w:rsidRDefault="0077131A" w:rsidP="0077131A">
      <w:pPr>
        <w:pStyle w:val="ListParagraph"/>
        <w:numPr>
          <w:ilvl w:val="0"/>
          <w:numId w:val="30"/>
        </w:numPr>
        <w:rPr>
          <w:sz w:val="22"/>
          <w:szCs w:val="20"/>
        </w:rPr>
      </w:pPr>
      <w:r w:rsidRPr="0077131A">
        <w:rPr>
          <w:b/>
          <w:bCs/>
          <w:sz w:val="22"/>
          <w:szCs w:val="20"/>
        </w:rPr>
        <w:t xml:space="preserve">Targeted Naloxone Distribution: </w:t>
      </w:r>
      <w:r w:rsidRPr="0077131A">
        <w:rPr>
          <w:sz w:val="22"/>
          <w:szCs w:val="20"/>
        </w:rPr>
        <w:t>Equip shelters, outreach teams, and law enforcement with naloxone, focusing on unsheltered and public areas.</w:t>
      </w:r>
    </w:p>
    <w:p w14:paraId="4B89391B" w14:textId="2C3577C5" w:rsidR="0077131A" w:rsidRPr="0077131A" w:rsidRDefault="0077131A" w:rsidP="0077131A">
      <w:pPr>
        <w:pStyle w:val="ListParagraph"/>
        <w:numPr>
          <w:ilvl w:val="0"/>
          <w:numId w:val="30"/>
        </w:numPr>
        <w:rPr>
          <w:sz w:val="22"/>
          <w:szCs w:val="20"/>
        </w:rPr>
      </w:pPr>
      <w:r w:rsidRPr="0077131A">
        <w:rPr>
          <w:b/>
          <w:bCs/>
          <w:sz w:val="22"/>
          <w:szCs w:val="20"/>
        </w:rPr>
        <w:t>Safe</w:t>
      </w:r>
      <w:r w:rsidR="000316FC">
        <w:rPr>
          <w:b/>
          <w:bCs/>
          <w:sz w:val="22"/>
          <w:szCs w:val="20"/>
        </w:rPr>
        <w:t>r</w:t>
      </w:r>
      <w:r w:rsidRPr="0077131A">
        <w:rPr>
          <w:b/>
          <w:bCs/>
          <w:sz w:val="22"/>
          <w:szCs w:val="20"/>
        </w:rPr>
        <w:t xml:space="preserve"> Use and Harm Reduction Messaging: </w:t>
      </w:r>
      <w:r w:rsidRPr="0077131A">
        <w:rPr>
          <w:sz w:val="22"/>
          <w:szCs w:val="20"/>
        </w:rPr>
        <w:t>Provide messaging on safer use, the Good Samaritan Law, and available resources for people in high-risk settings.</w:t>
      </w:r>
    </w:p>
    <w:p w14:paraId="03F91E5B" w14:textId="33183109" w:rsidR="000F5070" w:rsidRPr="000F5070" w:rsidRDefault="0077131A" w:rsidP="000F5070">
      <w:pPr>
        <w:pStyle w:val="ListParagraph"/>
        <w:numPr>
          <w:ilvl w:val="0"/>
          <w:numId w:val="30"/>
        </w:numPr>
        <w:rPr>
          <w:sz w:val="22"/>
          <w:szCs w:val="20"/>
        </w:rPr>
      </w:pPr>
      <w:r w:rsidRPr="0077131A">
        <w:rPr>
          <w:b/>
          <w:bCs/>
          <w:sz w:val="22"/>
          <w:szCs w:val="20"/>
        </w:rPr>
        <w:t xml:space="preserve">Cross-Agency Coordination: </w:t>
      </w:r>
      <w:r w:rsidRPr="0077131A">
        <w:rPr>
          <w:sz w:val="22"/>
          <w:szCs w:val="20"/>
        </w:rPr>
        <w:t>Ensure law enforcement, corrections, and public health partners coordinate efforts, including data-sharing and outreach.</w:t>
      </w:r>
    </w:p>
    <w:p w14:paraId="003E1997" w14:textId="77777777" w:rsidR="00E81C3B" w:rsidRDefault="00E81C3B">
      <w:pPr>
        <w:suppressAutoHyphens w:val="0"/>
        <w:spacing w:before="60" w:after="60"/>
        <w:rPr>
          <w:rFonts w:asciiTheme="minorHAnsi" w:eastAsia="Times New Roman" w:hAnsiTheme="minorHAnsi" w:cstheme="majorBidi"/>
          <w:b/>
          <w:color w:val="003865" w:themeColor="accent1"/>
          <w:spacing w:val="-5"/>
          <w:sz w:val="36"/>
          <w:szCs w:val="36"/>
        </w:rPr>
      </w:pPr>
      <w:r>
        <w:rPr>
          <w:rFonts w:eastAsia="Times New Roman"/>
        </w:rPr>
        <w:br w:type="page"/>
      </w:r>
    </w:p>
    <w:p w14:paraId="2B31B7B9" w14:textId="60D90267" w:rsidR="000F5070" w:rsidRPr="009304AF" w:rsidRDefault="000F5070" w:rsidP="000F5070">
      <w:pPr>
        <w:pStyle w:val="Heading2"/>
        <w:rPr>
          <w:rFonts w:eastAsia="Times New Roman"/>
        </w:rPr>
      </w:pPr>
      <w:r w:rsidRPr="009304AF">
        <w:rPr>
          <w:rFonts w:eastAsia="Times New Roman"/>
        </w:rPr>
        <w:lastRenderedPageBreak/>
        <w:t xml:space="preserve">State </w:t>
      </w:r>
      <w:r>
        <w:rPr>
          <w:rFonts w:eastAsia="Times New Roman"/>
        </w:rPr>
        <w:t>Response</w:t>
      </w:r>
    </w:p>
    <w:p w14:paraId="4CBE6B80" w14:textId="77777777" w:rsidR="00CD7B7E" w:rsidRPr="005D543A" w:rsidRDefault="00CD7B7E" w:rsidP="00CD7B7E">
      <w:pPr>
        <w:pStyle w:val="ListBullet"/>
        <w:rPr>
          <w:rFonts w:eastAsia="Times New Roman"/>
          <w:sz w:val="22"/>
          <w:szCs w:val="20"/>
        </w:rPr>
      </w:pPr>
      <w:r w:rsidRPr="005D543A">
        <w:rPr>
          <w:b/>
          <w:bCs/>
          <w:sz w:val="22"/>
          <w:szCs w:val="20"/>
        </w:rPr>
        <w:t>Ongoing Surveillance:</w:t>
      </w:r>
      <w:r w:rsidRPr="005D543A">
        <w:rPr>
          <w:sz w:val="22"/>
          <w:szCs w:val="20"/>
        </w:rPr>
        <w:t xml:space="preserve"> Continuously monitor overdose trends, providing regular updates and data analysis to local health authorities. </w:t>
      </w:r>
    </w:p>
    <w:p w14:paraId="4F925008" w14:textId="64425132" w:rsidR="00CD7B7E" w:rsidRPr="005D543A" w:rsidRDefault="00CD7B7E" w:rsidP="00CD7B7E">
      <w:pPr>
        <w:pStyle w:val="ListBullet"/>
        <w:rPr>
          <w:rFonts w:eastAsia="Times New Roman"/>
          <w:sz w:val="22"/>
          <w:szCs w:val="20"/>
        </w:rPr>
      </w:pPr>
      <w:r w:rsidRPr="005D543A">
        <w:rPr>
          <w:b/>
          <w:bCs/>
          <w:sz w:val="22"/>
          <w:szCs w:val="20"/>
        </w:rPr>
        <w:t>Resource and Messaging Coordination:</w:t>
      </w:r>
      <w:r w:rsidRPr="005D543A">
        <w:rPr>
          <w:sz w:val="22"/>
          <w:szCs w:val="20"/>
        </w:rPr>
        <w:t xml:space="preserve"> Supply additional resources, such as naloxone kits and fentanyl test strips, and support culturally targeted messaging for affected groups.</w:t>
      </w:r>
    </w:p>
    <w:sectPr w:rsidR="00CD7B7E" w:rsidRPr="005D543A" w:rsidSect="00F61439">
      <w:headerReference w:type="even" r:id="rId12"/>
      <w:headerReference w:type="default" r:id="rId13"/>
      <w:footerReference w:type="default" r:id="rId14"/>
      <w:headerReference w:type="first" r:id="rId15"/>
      <w:footerReference w:type="first" r:id="rId16"/>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865AD" w14:textId="77777777" w:rsidR="00163793" w:rsidRDefault="00163793" w:rsidP="00D36495">
      <w:r>
        <w:separator/>
      </w:r>
    </w:p>
  </w:endnote>
  <w:endnote w:type="continuationSeparator" w:id="0">
    <w:p w14:paraId="084AFE9B" w14:textId="77777777" w:rsidR="00163793" w:rsidRDefault="00163793"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6353500"/>
      <w:docPartObj>
        <w:docPartGallery w:val="Page Numbers (Bottom of Page)"/>
        <w:docPartUnique/>
      </w:docPartObj>
    </w:sdtPr>
    <w:sdtContent>
      <w:p w14:paraId="6942DF69"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010B6F">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768000"/>
      <w:docPartObj>
        <w:docPartGallery w:val="Page Numbers (Bottom of Page)"/>
        <w:docPartUnique/>
      </w:docPartObj>
    </w:sdtPr>
    <w:sdtEndPr>
      <w:rPr>
        <w:rStyle w:val="HeaderChar"/>
        <w:caps/>
        <w:color w:val="003865" w:themeColor="text1"/>
        <w:spacing w:val="40"/>
        <w:sz w:val="20"/>
      </w:rPr>
    </w:sdtEndPr>
    <w:sdtContent>
      <w:p w14:paraId="1DD5C829"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010B6F">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81726" w14:textId="77777777" w:rsidR="00163793" w:rsidRDefault="00163793" w:rsidP="00D36495">
      <w:r>
        <w:separator/>
      </w:r>
    </w:p>
  </w:footnote>
  <w:footnote w:type="continuationSeparator" w:id="0">
    <w:p w14:paraId="2B8AC4AA" w14:textId="77777777" w:rsidR="00163793" w:rsidRDefault="00163793"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D841D" w14:textId="2F0B91A5" w:rsidR="00E81C3B" w:rsidRDefault="00000000">
    <w:pPr>
      <w:pStyle w:val="Header"/>
    </w:pPr>
    <w:r>
      <w:rPr>
        <w:noProof/>
      </w:rPr>
      <w:pict w14:anchorId="7DC5F9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3610" o:spid="_x0000_s1026" type="#_x0000_t136" style="position:absolute;left:0;text-align:left;margin-left:0;margin-top:0;width:549.9pt;height:109.95pt;rotation:315;z-index:-251655168;mso-position-horizontal:center;mso-position-horizontal-relative:margin;mso-position-vertical:center;mso-position-vertical-relative:margin" o:allowincell="f" fillcolor="silver" stroked="f">
          <v:fill opacity=".5"/>
          <v:textpath style="font-family:&quot;Calibri&quot;;font-size:1pt" string="DO NOT DISTRIBU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FEDC6" w14:textId="21B30F45" w:rsidR="00E81C3B" w:rsidRPr="00E81C3B" w:rsidRDefault="00000000" w:rsidP="00B25F68">
    <w:pPr>
      <w:pStyle w:val="Header"/>
      <w:jc w:val="left"/>
      <w:rPr>
        <w:b/>
        <w:bCs/>
      </w:rPr>
    </w:pPr>
    <w:r>
      <w:rPr>
        <w:noProof/>
      </w:rPr>
      <w:pict w14:anchorId="78E5D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3611" o:spid="_x0000_s1027"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alibri&quot;;font-size:1pt" string="DO NOT DISTRIBUTE"/>
          <w10:wrap anchorx="margin" anchory="margin"/>
        </v:shape>
      </w:pict>
    </w:r>
    <w:r w:rsidR="00B25F68">
      <w:t>mn-od-alerts case study: Ramsey county</w:t>
    </w:r>
    <w:r w:rsidR="00E81C3B">
      <w:br/>
    </w:r>
    <w:r w:rsidR="00E81C3B">
      <w:rPr>
        <w:b/>
        <w:bCs/>
      </w:rPr>
      <w:t>fOR SESSION USE ONLY – DO NOT DISTRIBUTE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C1E3D" w14:textId="5DCD3F24" w:rsidR="00E81C3B" w:rsidRPr="00E81C3B" w:rsidRDefault="00E81C3B" w:rsidP="00E81C3B">
    <w:pPr>
      <w:pStyle w:val="Header"/>
      <w:jc w:val="left"/>
      <w:rPr>
        <w:b/>
        <w:bCs/>
      </w:rPr>
    </w:pPr>
    <w:r w:rsidRPr="00E81C3B">
      <w:rPr>
        <w:b/>
        <w:bCs/>
      </w:rPr>
      <w:t>FOR SESSION USE ONLY – DO NOT DISTRIBUTE</w:t>
    </w:r>
  </w:p>
  <w:p w14:paraId="64DA72C6" w14:textId="6EDBA653" w:rsidR="00E81C3B" w:rsidRDefault="00000000">
    <w:pPr>
      <w:pStyle w:val="Header"/>
    </w:pPr>
    <w:r>
      <w:rPr>
        <w:noProof/>
      </w:rPr>
      <w:pict w14:anchorId="53729C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93609" o:spid="_x0000_s1025" type="#_x0000_t136" style="position:absolute;left:0;text-align:left;margin-left:0;margin-top:0;width:549.9pt;height:109.95pt;rotation:315;z-index:-251657216;mso-position-horizontal:center;mso-position-horizontal-relative:margin;mso-position-vertical:center;mso-position-vertical-relative:margin" o:allowincell="f" fillcolor="silver" stroked="f">
          <v:fill opacity=".5"/>
          <v:textpath style="font-family:&quot;Calibri&quot;;font-size:1pt" string="DO NOT DISTRIBU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DF0F3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DE43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164A2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80B0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929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0E3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BA00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000A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542BC"/>
    <w:multiLevelType w:val="multilevel"/>
    <w:tmpl w:val="3D44CA50"/>
    <w:numStyleLink w:val="ListStyle123"/>
  </w:abstractNum>
  <w:abstractNum w:abstractNumId="11" w15:restartNumberingAfterBreak="0">
    <w:nsid w:val="08BD773F"/>
    <w:multiLevelType w:val="hybridMultilevel"/>
    <w:tmpl w:val="F0FC7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13" w15:restartNumberingAfterBreak="0">
    <w:nsid w:val="1EDC13B7"/>
    <w:multiLevelType w:val="multilevel"/>
    <w:tmpl w:val="88B4C196"/>
    <w:numStyleLink w:val="Listbullets"/>
  </w:abstractNum>
  <w:abstractNum w:abstractNumId="14" w15:restartNumberingAfterBreak="0">
    <w:nsid w:val="223D301D"/>
    <w:multiLevelType w:val="multilevel"/>
    <w:tmpl w:val="2CDE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A2309"/>
    <w:multiLevelType w:val="hybridMultilevel"/>
    <w:tmpl w:val="7F4E6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2147EF"/>
    <w:multiLevelType w:val="multilevel"/>
    <w:tmpl w:val="88B4C196"/>
    <w:numStyleLink w:val="Listbullets"/>
  </w:abstractNum>
  <w:abstractNum w:abstractNumId="17" w15:restartNumberingAfterBreak="0">
    <w:nsid w:val="28806E56"/>
    <w:multiLevelType w:val="multilevel"/>
    <w:tmpl w:val="7100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77E93"/>
    <w:multiLevelType w:val="multilevel"/>
    <w:tmpl w:val="25209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20" w15:restartNumberingAfterBreak="0">
    <w:nsid w:val="456A40D1"/>
    <w:multiLevelType w:val="multilevel"/>
    <w:tmpl w:val="A6CE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63C02"/>
    <w:multiLevelType w:val="multilevel"/>
    <w:tmpl w:val="C568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21103A"/>
    <w:multiLevelType w:val="multilevel"/>
    <w:tmpl w:val="6FEAC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1F3ADD"/>
    <w:multiLevelType w:val="multilevel"/>
    <w:tmpl w:val="E05498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5" w15:restartNumberingAfterBreak="0">
    <w:nsid w:val="56245E97"/>
    <w:multiLevelType w:val="multilevel"/>
    <w:tmpl w:val="3816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E0BDE"/>
    <w:multiLevelType w:val="multilevel"/>
    <w:tmpl w:val="C6B250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DE1453"/>
    <w:multiLevelType w:val="multilevel"/>
    <w:tmpl w:val="C174F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358577629">
    <w:abstractNumId w:val="5"/>
  </w:num>
  <w:num w:numId="2" w16cid:durableId="2110542531">
    <w:abstractNumId w:val="1"/>
  </w:num>
  <w:num w:numId="3" w16cid:durableId="645938811">
    <w:abstractNumId w:val="19"/>
  </w:num>
  <w:num w:numId="4" w16cid:durableId="1353609025">
    <w:abstractNumId w:val="29"/>
  </w:num>
  <w:num w:numId="5" w16cid:durableId="1742672887">
    <w:abstractNumId w:val="12"/>
  </w:num>
  <w:num w:numId="6" w16cid:durableId="239294861">
    <w:abstractNumId w:val="10"/>
  </w:num>
  <w:num w:numId="7" w16cid:durableId="2104566156">
    <w:abstractNumId w:val="16"/>
  </w:num>
  <w:num w:numId="8" w16cid:durableId="1284264462">
    <w:abstractNumId w:val="13"/>
  </w:num>
  <w:num w:numId="9" w16cid:durableId="785585303">
    <w:abstractNumId w:val="27"/>
  </w:num>
  <w:num w:numId="10" w16cid:durableId="957377272">
    <w:abstractNumId w:val="24"/>
  </w:num>
  <w:num w:numId="11" w16cid:durableId="1355572520">
    <w:abstractNumId w:val="4"/>
  </w:num>
  <w:num w:numId="12" w16cid:durableId="2005278866">
    <w:abstractNumId w:val="0"/>
  </w:num>
  <w:num w:numId="13" w16cid:durableId="1365718338">
    <w:abstractNumId w:val="7"/>
  </w:num>
  <w:num w:numId="14" w16cid:durableId="716785856">
    <w:abstractNumId w:val="6"/>
  </w:num>
  <w:num w:numId="15" w16cid:durableId="588853434">
    <w:abstractNumId w:val="3"/>
  </w:num>
  <w:num w:numId="16" w16cid:durableId="759838575">
    <w:abstractNumId w:val="2"/>
  </w:num>
  <w:num w:numId="17" w16cid:durableId="738938346">
    <w:abstractNumId w:val="22"/>
  </w:num>
  <w:num w:numId="18" w16cid:durableId="1549030567">
    <w:abstractNumId w:val="23"/>
  </w:num>
  <w:num w:numId="19" w16cid:durableId="1727607723">
    <w:abstractNumId w:val="26"/>
  </w:num>
  <w:num w:numId="20" w16cid:durableId="1182864736">
    <w:abstractNumId w:val="28"/>
  </w:num>
  <w:num w:numId="21" w16cid:durableId="1190728118">
    <w:abstractNumId w:val="17"/>
  </w:num>
  <w:num w:numId="22" w16cid:durableId="623124039">
    <w:abstractNumId w:val="18"/>
  </w:num>
  <w:num w:numId="23" w16cid:durableId="1435664167">
    <w:abstractNumId w:val="21"/>
  </w:num>
  <w:num w:numId="24" w16cid:durableId="1651594416">
    <w:abstractNumId w:val="20"/>
  </w:num>
  <w:num w:numId="25" w16cid:durableId="349719969">
    <w:abstractNumId w:val="14"/>
  </w:num>
  <w:num w:numId="26" w16cid:durableId="945236984">
    <w:abstractNumId w:val="25"/>
  </w:num>
  <w:num w:numId="27" w16cid:durableId="1280449324">
    <w:abstractNumId w:val="15"/>
  </w:num>
  <w:num w:numId="28" w16cid:durableId="2005237305">
    <w:abstractNumId w:val="9"/>
  </w:num>
  <w:num w:numId="29" w16cid:durableId="1189878670">
    <w:abstractNumId w:val="8"/>
  </w:num>
  <w:num w:numId="30" w16cid:durableId="965431364">
    <w:abstractNumId w:val="11"/>
  </w:num>
  <w:num w:numId="31" w16cid:durableId="494495881">
    <w:abstractNumId w:val="8"/>
  </w:num>
  <w:num w:numId="32" w16cid:durableId="498318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attachedTemplate r:id="rId1"/>
  <w:stylePaneFormatFilter w:val="F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AF"/>
    <w:rsid w:val="000009FC"/>
    <w:rsid w:val="00001775"/>
    <w:rsid w:val="000021B3"/>
    <w:rsid w:val="000050B3"/>
    <w:rsid w:val="0000588B"/>
    <w:rsid w:val="00006C0D"/>
    <w:rsid w:val="00006CDB"/>
    <w:rsid w:val="00007022"/>
    <w:rsid w:val="000075C5"/>
    <w:rsid w:val="00007995"/>
    <w:rsid w:val="00010174"/>
    <w:rsid w:val="00010828"/>
    <w:rsid w:val="00010B6F"/>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A10"/>
    <w:rsid w:val="00026E3D"/>
    <w:rsid w:val="000273D5"/>
    <w:rsid w:val="00027C37"/>
    <w:rsid w:val="00030196"/>
    <w:rsid w:val="000316FC"/>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19F"/>
    <w:rsid w:val="000F1830"/>
    <w:rsid w:val="000F252A"/>
    <w:rsid w:val="000F30A3"/>
    <w:rsid w:val="000F3386"/>
    <w:rsid w:val="000F5070"/>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793"/>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1ED"/>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37B1"/>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1E4B"/>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0187"/>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19"/>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1CB8"/>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80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3469"/>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A6EE6"/>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E6863"/>
    <w:rsid w:val="004F0724"/>
    <w:rsid w:val="004F0A11"/>
    <w:rsid w:val="004F19F5"/>
    <w:rsid w:val="004F1D68"/>
    <w:rsid w:val="004F21E0"/>
    <w:rsid w:val="004F25C8"/>
    <w:rsid w:val="004F3C1B"/>
    <w:rsid w:val="004F49D6"/>
    <w:rsid w:val="004F4F78"/>
    <w:rsid w:val="004F5049"/>
    <w:rsid w:val="004F53F8"/>
    <w:rsid w:val="004F6EFD"/>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54CC"/>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43A"/>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5D67"/>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B6B"/>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13B"/>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E3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31A"/>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2163"/>
    <w:rsid w:val="007C3590"/>
    <w:rsid w:val="007C3CB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553"/>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04AF"/>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76"/>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83F"/>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5F68"/>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E2B"/>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4F24"/>
    <w:rsid w:val="00B655DC"/>
    <w:rsid w:val="00B65F89"/>
    <w:rsid w:val="00B663BD"/>
    <w:rsid w:val="00B6745E"/>
    <w:rsid w:val="00B67518"/>
    <w:rsid w:val="00B67E73"/>
    <w:rsid w:val="00B705F5"/>
    <w:rsid w:val="00B70A76"/>
    <w:rsid w:val="00B71393"/>
    <w:rsid w:val="00B716EC"/>
    <w:rsid w:val="00B71BE5"/>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9F8"/>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39D1"/>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A34"/>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7E"/>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20A"/>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58EE"/>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4BF6"/>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12A6"/>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533"/>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D88"/>
    <w:rsid w:val="00E43E24"/>
    <w:rsid w:val="00E5092A"/>
    <w:rsid w:val="00E50B38"/>
    <w:rsid w:val="00E50BB1"/>
    <w:rsid w:val="00E51BDE"/>
    <w:rsid w:val="00E523E4"/>
    <w:rsid w:val="00E52D23"/>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1C3B"/>
    <w:rsid w:val="00E82876"/>
    <w:rsid w:val="00E82A2D"/>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0B69"/>
    <w:rsid w:val="00EB291F"/>
    <w:rsid w:val="00EB2D82"/>
    <w:rsid w:val="00EB34E8"/>
    <w:rsid w:val="00EB3AC4"/>
    <w:rsid w:val="00EB4432"/>
    <w:rsid w:val="00EB5253"/>
    <w:rsid w:val="00EB615F"/>
    <w:rsid w:val="00EB623B"/>
    <w:rsid w:val="00EB6887"/>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A7EB5"/>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73657"/>
  <w15:docId w15:val="{750E1D2B-B4A2-4E6C-B7CF-0824FD5A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99"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10B6F"/>
    <w:pPr>
      <w:suppressAutoHyphens/>
      <w:spacing w:before="120" w:after="120"/>
    </w:pPr>
    <w:rPr>
      <w:sz w:val="24"/>
    </w:rPr>
  </w:style>
  <w:style w:type="paragraph" w:styleId="Heading1">
    <w:name w:val="heading 1"/>
    <w:aliases w:val="H1 Title"/>
    <w:next w:val="Normal"/>
    <w:link w:val="Heading1Char"/>
    <w:uiPriority w:val="4"/>
    <w:qFormat/>
    <w:rsid w:val="000F119F"/>
    <w:pPr>
      <w:suppressAutoHyphen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0F119F"/>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9"/>
    <w:qFormat/>
    <w:rsid w:val="000F119F"/>
    <w:pPr>
      <w:suppressAutoHyphen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0F119F"/>
    <w:pPr>
      <w:suppressAutoHyphen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0F119F"/>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0F119F"/>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99"/>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99"/>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9"/>
    <w:rsid w:val="000F119F"/>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0F119F"/>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010B6F"/>
    <w:rPr>
      <w:color w:val="004D8D" w:themeColor="text1" w:themeTint="E6"/>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404803"/>
    <w:pPr>
      <w:spacing w:before="40" w:after="40"/>
      <w:jc w:val="center"/>
    </w:pPr>
    <w:rPr>
      <w:rFonts w:ascii="Calibri Light" w:hAnsi="Calibri Light"/>
    </w:rPr>
    <w:tblPr>
      <w:tblStyleRowBandSize w:val="1"/>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2C0187"/>
    <w:pPr>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C0187"/>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C0187"/>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semiHidden/>
    <w:unhideWhenUsed/>
    <w:locked/>
    <w:rsid w:val="009304AF"/>
    <w:pPr>
      <w:suppressAutoHyphens w:val="0"/>
      <w:spacing w:before="100" w:beforeAutospacing="1" w:after="100" w:afterAutospacing="1"/>
    </w:pPr>
    <w:rPr>
      <w:rFonts w:ascii="Times New Roman" w:eastAsia="Times New Roman" w:hAnsi="Times New Roman" w:cs="Times New Roman"/>
      <w:szCs w:val="24"/>
    </w:rPr>
  </w:style>
  <w:style w:type="character" w:styleId="CommentReference">
    <w:name w:val="annotation reference"/>
    <w:basedOn w:val="DefaultParagraphFont"/>
    <w:semiHidden/>
    <w:unhideWhenUsed/>
    <w:locked/>
    <w:rsid w:val="003F1CB8"/>
    <w:rPr>
      <w:sz w:val="16"/>
      <w:szCs w:val="16"/>
    </w:rPr>
  </w:style>
  <w:style w:type="paragraph" w:styleId="CommentText">
    <w:name w:val="annotation text"/>
    <w:basedOn w:val="Normal"/>
    <w:link w:val="CommentTextChar"/>
    <w:unhideWhenUsed/>
    <w:locked/>
    <w:rsid w:val="003F1CB8"/>
    <w:rPr>
      <w:sz w:val="20"/>
      <w:szCs w:val="20"/>
    </w:rPr>
  </w:style>
  <w:style w:type="character" w:customStyle="1" w:styleId="CommentTextChar">
    <w:name w:val="Comment Text Char"/>
    <w:basedOn w:val="DefaultParagraphFont"/>
    <w:link w:val="CommentText"/>
    <w:rsid w:val="003F1CB8"/>
    <w:rPr>
      <w:sz w:val="20"/>
      <w:szCs w:val="20"/>
    </w:rPr>
  </w:style>
  <w:style w:type="paragraph" w:styleId="CommentSubject">
    <w:name w:val="annotation subject"/>
    <w:basedOn w:val="CommentText"/>
    <w:next w:val="CommentText"/>
    <w:link w:val="CommentSubjectChar"/>
    <w:semiHidden/>
    <w:unhideWhenUsed/>
    <w:locked/>
    <w:rsid w:val="003F1CB8"/>
    <w:rPr>
      <w:b/>
      <w:bCs/>
    </w:rPr>
  </w:style>
  <w:style w:type="character" w:customStyle="1" w:styleId="CommentSubjectChar">
    <w:name w:val="Comment Subject Char"/>
    <w:basedOn w:val="CommentTextChar"/>
    <w:link w:val="CommentSubject"/>
    <w:semiHidden/>
    <w:rsid w:val="003F1C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79659">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eses1\appdata\local\microsoft\office\MDH_Templates\Template%20Basic%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6E74258BAC841B5F84453FFA21C9D" ma:contentTypeVersion="6" ma:contentTypeDescription="Create a new document." ma:contentTypeScope="" ma:versionID="b64cb185fbbedcfb39c4f7b72839a9cf">
  <xsd:schema xmlns:xsd="http://www.w3.org/2001/XMLSchema" xmlns:xs="http://www.w3.org/2001/XMLSchema" xmlns:p="http://schemas.microsoft.com/office/2006/metadata/properties" xmlns:ns2="dbe9abe1-9de1-437a-b279-ceb05b6d5498" xmlns:ns3="b1c1ecbd-34bd-4195-b575-a8604a0a8a4a" targetNamespace="http://schemas.microsoft.com/office/2006/metadata/properties" ma:root="true" ma:fieldsID="d391c1da6efb4858ff5984f56ca749ce" ns2:_="" ns3:_="">
    <xsd:import namespace="dbe9abe1-9de1-437a-b279-ceb05b6d5498"/>
    <xsd:import namespace="b1c1ecbd-34bd-4195-b575-a8604a0a8a4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9abe1-9de1-437a-b279-ceb05b6d5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1ecbd-34bd-4195-b575-a8604a0a8a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C865334-C6E1-4AF5-BA3E-F8EC6698A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9abe1-9de1-437a-b279-ceb05b6d5498"/>
    <ds:schemaRef ds:uri="b1c1ecbd-34bd-4195-b575-a8604a0a8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F5A84-D146-4B84-B77D-38529A5E05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646F4E88-E875-4D36-928F-E1BD78B0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Basic Document</Template>
  <TotalTime>75</TotalTime>
  <Pages>3</Pages>
  <Words>590</Words>
  <Characters>3634</Characters>
  <Application>Microsoft Office Word</Application>
  <DocSecurity>0</DocSecurity>
  <Lines>68</Lines>
  <Paragraphs>46</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subject/>
  <dc:creator>Shelbi Giesel</dc:creator>
  <cp:keywords/>
  <dc:description>Document template version 2.2</dc:description>
  <cp:lastModifiedBy>Hillstrom, Hayley (MDH)</cp:lastModifiedBy>
  <cp:revision>7</cp:revision>
  <cp:lastPrinted>2016-12-14T18:03:00Z</cp:lastPrinted>
  <dcterms:created xsi:type="dcterms:W3CDTF">2024-10-31T17:38:00Z</dcterms:created>
  <dcterms:modified xsi:type="dcterms:W3CDTF">2024-11-05T19:01:00Z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0x010100DFE6E74258BAC841B5F84453FFA21C9D</vt:lpwstr>
  </property>
  <property fmtid="{D5CDD505-2E9C-101B-9397-08002B2CF9AE}" pid="3" name="_dlc_DocIdItemGuid">
    <vt:lpwstr>21075d31-a098-4126-a0c3-2155733820d1</vt:lpwstr>
  </property>
</Properties>
</file>