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AD4A" w14:textId="20815B24" w:rsidR="00D5087A" w:rsidRPr="00800B9C" w:rsidRDefault="00800B9C" w:rsidP="00D5087A">
      <w:pPr>
        <w:spacing w:after="0" w:line="276" w:lineRule="auto"/>
        <w:ind w:left="360" w:hanging="360"/>
        <w:rPr>
          <w:rFonts w:ascii="Titillium Web" w:hAnsi="Titillium Web"/>
          <w:b/>
          <w:bCs/>
        </w:rPr>
      </w:pPr>
      <w:r w:rsidRPr="00800B9C">
        <w:rPr>
          <w:rFonts w:ascii="Titillium Web" w:hAnsi="Titillium Web"/>
          <w:b/>
          <w:bCs/>
        </w:rPr>
        <w:t>GEA one-pager</w:t>
      </w:r>
    </w:p>
    <w:p w14:paraId="313810BA" w14:textId="77777777" w:rsidR="00D5087A" w:rsidRDefault="00D5087A" w:rsidP="00D5087A">
      <w:pPr>
        <w:spacing w:after="0" w:line="276" w:lineRule="auto"/>
        <w:ind w:left="360" w:hanging="360"/>
      </w:pPr>
    </w:p>
    <w:p w14:paraId="76606263" w14:textId="375FCCAC" w:rsidR="00A54919" w:rsidRPr="00D5087A" w:rsidRDefault="00A54919" w:rsidP="00D5087A">
      <w:pPr>
        <w:pStyle w:val="Akapitzlist"/>
        <w:numPr>
          <w:ilvl w:val="0"/>
          <w:numId w:val="20"/>
        </w:numPr>
        <w:spacing w:after="0" w:line="276" w:lineRule="auto"/>
        <w:ind w:left="360"/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</w:pPr>
      <w:r w:rsidRPr="00D5087A">
        <w:rPr>
          <w:rFonts w:ascii="Titillium Web" w:eastAsia="Times New Roman" w:hAnsi="Titillium Web" w:cs="Times New Roman"/>
          <w:b/>
          <w:bCs/>
          <w:color w:val="70AD47" w:themeColor="accent6"/>
          <w:sz w:val="18"/>
          <w:szCs w:val="18"/>
          <w:lang w:eastAsia="pl-PL"/>
        </w:rPr>
        <w:t xml:space="preserve">What is </w:t>
      </w: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 xml:space="preserve">EIT </w:t>
      </w:r>
      <w:r w:rsidR="00191461"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>InfraBooster</w:t>
      </w: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 xml:space="preserve"> Government Executive Academy (GEA</w:t>
      </w:r>
      <w:r w:rsidR="00191461"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 xml:space="preserve"> /Academy</w:t>
      </w: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>)?</w:t>
      </w:r>
    </w:p>
    <w:p w14:paraId="6AAB5D5C" w14:textId="1E531845" w:rsidR="00A54919" w:rsidRPr="00D5087A" w:rsidRDefault="00191461" w:rsidP="00D5087A">
      <w:pPr>
        <w:pStyle w:val="Akapitzlist"/>
        <w:numPr>
          <w:ilvl w:val="1"/>
          <w:numId w:val="20"/>
        </w:numPr>
        <w:spacing w:after="0" w:line="276" w:lineRule="auto"/>
        <w:ind w:left="1080"/>
        <w:jc w:val="both"/>
        <w:rPr>
          <w:rFonts w:ascii="Titillium Web" w:hAnsi="Titillium Web" w:cstheme="minorHAnsi"/>
          <w:color w:val="002060"/>
          <w:sz w:val="16"/>
          <w:szCs w:val="16"/>
        </w:rPr>
      </w:pPr>
      <w:r w:rsidRPr="00D5087A">
        <w:rPr>
          <w:rFonts w:ascii="Titillium Web" w:eastAsia="Calibri" w:hAnsi="Titillium Web" w:cs="Calibri"/>
          <w:color w:val="002060"/>
          <w:sz w:val="16"/>
          <w:szCs w:val="16"/>
        </w:rPr>
        <w:t>GEA</w:t>
      </w:r>
      <w:r w:rsidRPr="00D5087A">
        <w:rPr>
          <w:rFonts w:ascii="Titillium Web" w:eastAsia="Calibri" w:hAnsi="Titillium Web" w:cs="Calibri"/>
          <w:b/>
          <w:bCs/>
          <w:color w:val="002060"/>
          <w:sz w:val="16"/>
          <w:szCs w:val="16"/>
        </w:rPr>
        <w:t xml:space="preserve"> </w:t>
      </w:r>
      <w:r w:rsidRPr="00D5087A">
        <w:rPr>
          <w:rFonts w:ascii="Titillium Web" w:eastAsia="Calibri" w:hAnsi="Titillium Web" w:cs="Calibri"/>
          <w:color w:val="002060"/>
          <w:sz w:val="16"/>
          <w:szCs w:val="16"/>
        </w:rPr>
        <w:t xml:space="preserve">is an executive-level training program </w:t>
      </w:r>
      <w:r w:rsidR="00D5087A" w:rsidRPr="00D5087A">
        <w:rPr>
          <w:rFonts w:ascii="Titillium Web" w:eastAsia="Calibri" w:hAnsi="Titillium Web" w:cs="Calibri"/>
          <w:color w:val="002060"/>
          <w:sz w:val="16"/>
          <w:szCs w:val="16"/>
        </w:rPr>
        <w:t xml:space="preserve">delivered by the University of Warsaw </w:t>
      </w:r>
      <w:r w:rsidRPr="00D5087A">
        <w:rPr>
          <w:rFonts w:ascii="Titillium Web" w:eastAsia="Calibri" w:hAnsi="Titillium Web" w:cs="Calibri"/>
          <w:color w:val="002060"/>
          <w:sz w:val="16"/>
          <w:szCs w:val="16"/>
        </w:rPr>
        <w:t>for public sector representatives from Central-Eastern and Southern European countries and Western Balkans, deepening their knowledge of research innovations and sectoral regulation, and helping address societal challenges across Europe</w:t>
      </w:r>
      <w:r w:rsidR="00A54919" w:rsidRPr="00D5087A">
        <w:rPr>
          <w:rFonts w:ascii="Titillium Web" w:hAnsi="Titillium Web" w:cstheme="minorHAnsi"/>
          <w:color w:val="002060"/>
          <w:sz w:val="16"/>
          <w:szCs w:val="16"/>
        </w:rPr>
        <w:t>.</w:t>
      </w:r>
    </w:p>
    <w:p w14:paraId="104A8B15" w14:textId="346A0DC4" w:rsidR="00A54919" w:rsidRPr="00D5087A" w:rsidRDefault="00A54919" w:rsidP="00D5087A">
      <w:pPr>
        <w:pStyle w:val="Akapitzlist"/>
        <w:numPr>
          <w:ilvl w:val="0"/>
          <w:numId w:val="20"/>
        </w:numPr>
        <w:spacing w:after="0" w:line="276" w:lineRule="auto"/>
        <w:ind w:left="360"/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</w:pPr>
      <w:r w:rsidRPr="00D5087A">
        <w:rPr>
          <w:rFonts w:ascii="Titillium Web" w:eastAsia="Times New Roman" w:hAnsi="Titillium Web" w:cs="Times New Roman"/>
          <w:b/>
          <w:bCs/>
          <w:color w:val="70AD47" w:themeColor="accent6"/>
          <w:sz w:val="18"/>
          <w:szCs w:val="18"/>
          <w:lang w:eastAsia="pl-PL"/>
        </w:rPr>
        <w:t xml:space="preserve">Why is </w:t>
      </w: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 xml:space="preserve">the </w:t>
      </w:r>
      <w:r w:rsidR="00191461"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>Academy</w:t>
      </w: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 xml:space="preserve"> </w:t>
      </w:r>
      <w:r w:rsidRPr="00D5087A">
        <w:rPr>
          <w:rFonts w:ascii="Titillium Web" w:eastAsia="Times New Roman" w:hAnsi="Titillium Web" w:cs="Times New Roman"/>
          <w:b/>
          <w:bCs/>
          <w:color w:val="70AD47" w:themeColor="accent6"/>
          <w:sz w:val="18"/>
          <w:szCs w:val="18"/>
          <w:lang w:eastAsia="pl-PL"/>
        </w:rPr>
        <w:t xml:space="preserve">worth </w:t>
      </w:r>
      <w:r w:rsidR="006767E5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>participating</w:t>
      </w: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>?</w:t>
      </w:r>
    </w:p>
    <w:p w14:paraId="16C6618C" w14:textId="23C834D1" w:rsidR="00A54919" w:rsidRPr="00D5087A" w:rsidRDefault="00191461" w:rsidP="00D5087A">
      <w:pPr>
        <w:pStyle w:val="Akapitzlist"/>
        <w:numPr>
          <w:ilvl w:val="1"/>
          <w:numId w:val="20"/>
        </w:numPr>
        <w:spacing w:after="0" w:line="276" w:lineRule="auto"/>
        <w:ind w:left="1080"/>
        <w:jc w:val="both"/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</w:pPr>
      <w:r w:rsidRPr="00D5087A">
        <w:rPr>
          <w:rFonts w:ascii="Titillium Web" w:eastAsia="Calibri" w:hAnsi="Titillium Web" w:cs="Calibri"/>
          <w:color w:val="002060"/>
          <w:sz w:val="16"/>
          <w:szCs w:val="16"/>
        </w:rPr>
        <w:t>Academy is a special capability-building advisory program that offers insights into challenges related to innovations, Research and Innovation Smart Specialization Strategies and regulations and offers capacity building and support in understanding infrastructure-based services that could be offered as regional government support for science-industry cooperation.</w:t>
      </w:r>
    </w:p>
    <w:p w14:paraId="5399052F" w14:textId="260ACC44" w:rsidR="00A54919" w:rsidRPr="00D5087A" w:rsidRDefault="00191461" w:rsidP="00D5087A">
      <w:pPr>
        <w:pStyle w:val="Akapitzlist"/>
        <w:numPr>
          <w:ilvl w:val="1"/>
          <w:numId w:val="20"/>
        </w:numPr>
        <w:spacing w:after="0" w:line="276" w:lineRule="auto"/>
        <w:ind w:left="1080"/>
        <w:jc w:val="both"/>
        <w:rPr>
          <w:rFonts w:ascii="Titillium Web" w:eastAsia="Times New Roman" w:hAnsi="Titillium Web" w:cs="Times New Roman"/>
          <w:color w:val="002060"/>
          <w:sz w:val="16"/>
          <w:szCs w:val="16"/>
          <w:lang w:eastAsia="pl-PL"/>
        </w:rPr>
      </w:pPr>
      <w:r w:rsidRPr="00D5087A">
        <w:rPr>
          <w:rFonts w:ascii="Titillium Web" w:eastAsia="Calibri" w:hAnsi="Titillium Web" w:cs="Calibri"/>
          <w:color w:val="002060"/>
          <w:sz w:val="16"/>
          <w:szCs w:val="16"/>
        </w:rPr>
        <w:t>Participants will become part of a cohort including public sector representatives, involved in designing, implementing and/or monitoring Research &amp; Innovation Smart Specialization Strategies (RIS3) or defining regulatory policies using the knowledge of the innovation eco-systems in their countries, and increase the internationalization of regional research infrastructures.</w:t>
      </w:r>
    </w:p>
    <w:p w14:paraId="3EB285AD" w14:textId="2BB15C91" w:rsidR="00A54919" w:rsidRPr="00D5087A" w:rsidRDefault="00A54919" w:rsidP="00D5087A">
      <w:pPr>
        <w:pStyle w:val="Akapitzlist"/>
        <w:numPr>
          <w:ilvl w:val="0"/>
          <w:numId w:val="20"/>
        </w:numPr>
        <w:spacing w:after="0" w:line="276" w:lineRule="auto"/>
        <w:ind w:left="360"/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</w:pP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 xml:space="preserve">What is </w:t>
      </w:r>
      <w:r w:rsidR="00D5087A">
        <w:rPr>
          <w:rFonts w:ascii="Titillium Web" w:eastAsia="Times New Roman" w:hAnsi="Titillium Web" w:cs="Times New Roman"/>
          <w:b/>
          <w:bCs/>
          <w:color w:val="70AD47" w:themeColor="accent6"/>
          <w:sz w:val="18"/>
          <w:szCs w:val="18"/>
          <w:lang w:eastAsia="pl-PL"/>
        </w:rPr>
        <w:t>the</w:t>
      </w:r>
      <w:r w:rsidR="00191461" w:rsidRPr="00D5087A">
        <w:rPr>
          <w:rFonts w:ascii="Titillium Web" w:eastAsia="Times New Roman" w:hAnsi="Titillium Web" w:cs="Times New Roman"/>
          <w:b/>
          <w:bCs/>
          <w:color w:val="70AD47" w:themeColor="accent6"/>
          <w:sz w:val="18"/>
          <w:szCs w:val="18"/>
          <w:lang w:eastAsia="pl-PL"/>
        </w:rPr>
        <w:t xml:space="preserve"> </w:t>
      </w:r>
      <w:r w:rsidRPr="00D5087A">
        <w:rPr>
          <w:rFonts w:ascii="Titillium Web" w:eastAsia="Times New Roman" w:hAnsi="Titillium Web" w:cs="Times New Roman"/>
          <w:b/>
          <w:bCs/>
          <w:color w:val="70AD47" w:themeColor="accent6"/>
          <w:sz w:val="18"/>
          <w:szCs w:val="18"/>
          <w:lang w:eastAsia="pl-PL"/>
        </w:rPr>
        <w:t xml:space="preserve">purpose </w:t>
      </w: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>of the GEA?</w:t>
      </w:r>
    </w:p>
    <w:p w14:paraId="0509F86A" w14:textId="3EA6A6D0" w:rsidR="00191461" w:rsidRPr="00D5087A" w:rsidRDefault="008F154A" w:rsidP="00D5087A">
      <w:pPr>
        <w:pStyle w:val="Akapitzlist"/>
        <w:numPr>
          <w:ilvl w:val="1"/>
          <w:numId w:val="20"/>
        </w:numPr>
        <w:spacing w:after="0" w:line="276" w:lineRule="auto"/>
        <w:ind w:left="1080"/>
        <w:jc w:val="both"/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</w:pPr>
      <w:r>
        <w:rPr>
          <w:rFonts w:ascii="Titillium Web" w:eastAsia="Calibri" w:hAnsi="Titillium Web" w:cs="Calibri"/>
          <w:color w:val="002060"/>
          <w:sz w:val="16"/>
          <w:szCs w:val="16"/>
        </w:rPr>
        <w:t>P</w:t>
      </w:r>
      <w:r w:rsidR="009D5EEA" w:rsidRPr="00D5087A">
        <w:rPr>
          <w:rFonts w:ascii="Titillium Web" w:eastAsia="Calibri" w:hAnsi="Titillium Web" w:cs="Calibri"/>
          <w:color w:val="002060"/>
          <w:sz w:val="16"/>
          <w:szCs w:val="16"/>
        </w:rPr>
        <w:t>articipation e</w:t>
      </w:r>
      <w:r w:rsidR="00191461" w:rsidRPr="00D5087A">
        <w:rPr>
          <w:rFonts w:ascii="Titillium Web" w:eastAsia="Calibri" w:hAnsi="Titillium Web" w:cs="Calibri"/>
          <w:color w:val="002060"/>
          <w:sz w:val="16"/>
          <w:szCs w:val="16"/>
        </w:rPr>
        <w:t xml:space="preserve">nsures that participants gain an understanding of research infrastructures "sleeping beauties" discovery processes, standards of national cooperation and examples of commercialization spin-offs. Participants after completion will receive the closer ability of science-industry cooperation, increasing the collaboration, international exposure and innovativeness of regional institutions, and how to support and establish a new source of </w:t>
      </w:r>
      <w:r>
        <w:rPr>
          <w:rFonts w:ascii="Titillium Web" w:eastAsia="Calibri" w:hAnsi="Titillium Web" w:cs="Calibri"/>
          <w:color w:val="002060"/>
          <w:sz w:val="16"/>
          <w:szCs w:val="16"/>
        </w:rPr>
        <w:t xml:space="preserve">regional RIs </w:t>
      </w:r>
      <w:r w:rsidR="00191461" w:rsidRPr="00D5087A">
        <w:rPr>
          <w:rFonts w:ascii="Titillium Web" w:eastAsia="Calibri" w:hAnsi="Titillium Web" w:cs="Calibri"/>
          <w:color w:val="002060"/>
          <w:sz w:val="16"/>
          <w:szCs w:val="16"/>
        </w:rPr>
        <w:t>revenues.</w:t>
      </w:r>
    </w:p>
    <w:p w14:paraId="6B052657" w14:textId="0B86576D" w:rsidR="00A54919" w:rsidRPr="00D5087A" w:rsidRDefault="00A54919" w:rsidP="00D5087A">
      <w:pPr>
        <w:pStyle w:val="Akapitzlist"/>
        <w:numPr>
          <w:ilvl w:val="0"/>
          <w:numId w:val="20"/>
        </w:numPr>
        <w:spacing w:after="0" w:line="276" w:lineRule="auto"/>
        <w:ind w:left="360"/>
        <w:jc w:val="both"/>
        <w:rPr>
          <w:rFonts w:ascii="Titillium Web" w:eastAsia="Times New Roman" w:hAnsi="Titillium Web" w:cstheme="minorHAnsi"/>
          <w:b/>
          <w:bCs/>
          <w:color w:val="002060"/>
          <w:sz w:val="16"/>
          <w:szCs w:val="16"/>
          <w:lang w:eastAsia="pl-PL"/>
        </w:rPr>
      </w:pP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 xml:space="preserve">What </w:t>
      </w:r>
      <w:r w:rsidR="006767E5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>are</w:t>
      </w: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 xml:space="preserve"> </w:t>
      </w:r>
      <w:r w:rsidR="006767E5">
        <w:rPr>
          <w:rFonts w:ascii="Titillium Web" w:eastAsia="Times New Roman" w:hAnsi="Titillium Web" w:cs="Times New Roman"/>
          <w:b/>
          <w:bCs/>
          <w:color w:val="70AD47" w:themeColor="accent6"/>
          <w:sz w:val="18"/>
          <w:szCs w:val="18"/>
          <w:lang w:eastAsia="pl-PL"/>
        </w:rPr>
        <w:t>the benefits</w:t>
      </w:r>
      <w:r w:rsidRPr="00D5087A">
        <w:rPr>
          <w:rFonts w:ascii="Titillium Web" w:eastAsia="Times New Roman" w:hAnsi="Titillium Web" w:cs="Times New Roman"/>
          <w:b/>
          <w:bCs/>
          <w:color w:val="70AD47" w:themeColor="accent6"/>
          <w:sz w:val="18"/>
          <w:szCs w:val="18"/>
          <w:lang w:eastAsia="pl-PL"/>
        </w:rPr>
        <w:t xml:space="preserve"> </w:t>
      </w: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>of the GEA?</w:t>
      </w:r>
    </w:p>
    <w:p w14:paraId="3F9CD902" w14:textId="58355E2F" w:rsidR="00A54919" w:rsidRPr="00D5087A" w:rsidRDefault="00191461" w:rsidP="00D5087A">
      <w:pPr>
        <w:pStyle w:val="Akapitzlist"/>
        <w:numPr>
          <w:ilvl w:val="1"/>
          <w:numId w:val="20"/>
        </w:numPr>
        <w:spacing w:after="0" w:line="276" w:lineRule="auto"/>
        <w:ind w:left="1080"/>
        <w:jc w:val="both"/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</w:pPr>
      <w:r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Academy </w:t>
      </w:r>
      <w:r w:rsidR="009D5EEA" w:rsidRPr="00D5087A">
        <w:rPr>
          <w:rFonts w:ascii="Titillium Web" w:eastAsia="Calibri" w:hAnsi="Titillium Web" w:cs="Calibri"/>
          <w:color w:val="002060"/>
          <w:sz w:val="16"/>
          <w:szCs w:val="16"/>
        </w:rPr>
        <w:t>delivers expert knowledge on challenges the local/global industry faces, state-of-the-art technologies and best practices in innovation management. Brings together public sector representatives from Central-Eastern and Southern Europe countries and Western Balkans with experts working in innovations from industry, academia and European institutions</w:t>
      </w:r>
      <w:r w:rsidR="00A54919"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>.</w:t>
      </w:r>
    </w:p>
    <w:p w14:paraId="06284F87" w14:textId="4E38F593" w:rsidR="00A54919" w:rsidRPr="00D5087A" w:rsidRDefault="00A54919" w:rsidP="00D5087A">
      <w:pPr>
        <w:pStyle w:val="Akapitzlist"/>
        <w:numPr>
          <w:ilvl w:val="0"/>
          <w:numId w:val="20"/>
        </w:numPr>
        <w:spacing w:after="0" w:line="276" w:lineRule="auto"/>
        <w:ind w:left="360"/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</w:pP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 xml:space="preserve">Why </w:t>
      </w:r>
      <w:r w:rsidRPr="00D5087A">
        <w:rPr>
          <w:rFonts w:ascii="Titillium Web" w:eastAsia="Times New Roman" w:hAnsi="Titillium Web" w:cs="Times New Roman"/>
          <w:b/>
          <w:bCs/>
          <w:color w:val="70AD47" w:themeColor="accent6"/>
          <w:sz w:val="18"/>
          <w:szCs w:val="18"/>
          <w:lang w:eastAsia="pl-PL"/>
        </w:rPr>
        <w:t>should I</w:t>
      </w: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 xml:space="preserve"> get involved?</w:t>
      </w:r>
    </w:p>
    <w:p w14:paraId="537F97C7" w14:textId="755EFE76" w:rsidR="00A54919" w:rsidRPr="00D5087A" w:rsidRDefault="00A54919" w:rsidP="00D5087A">
      <w:pPr>
        <w:pStyle w:val="Akapitzlist"/>
        <w:numPr>
          <w:ilvl w:val="1"/>
          <w:numId w:val="20"/>
        </w:numPr>
        <w:spacing w:after="0" w:line="276" w:lineRule="auto"/>
        <w:ind w:left="1080"/>
        <w:jc w:val="both"/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</w:pPr>
      <w:r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During the Academy, </w:t>
      </w:r>
      <w:r w:rsidR="008F154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>participants</w:t>
      </w:r>
      <w:r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 will meet government executives, directors, managers, scientists and other experts working in the industry, non-governmental sector, </w:t>
      </w:r>
      <w:r w:rsidR="009D5EEA"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and </w:t>
      </w:r>
      <w:r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>European institutions.</w:t>
      </w:r>
    </w:p>
    <w:p w14:paraId="60EE8DCD" w14:textId="769A3E27" w:rsidR="00A54919" w:rsidRPr="00D5087A" w:rsidRDefault="008F154A" w:rsidP="00D5087A">
      <w:pPr>
        <w:pStyle w:val="Akapitzlist"/>
        <w:numPr>
          <w:ilvl w:val="1"/>
          <w:numId w:val="20"/>
        </w:numPr>
        <w:spacing w:after="0" w:line="276" w:lineRule="auto"/>
        <w:ind w:left="1080"/>
        <w:jc w:val="both"/>
        <w:rPr>
          <w:rFonts w:ascii="Titillium Web" w:eastAsia="Times New Roman" w:hAnsi="Titillium Web" w:cs="Times New Roman"/>
          <w:color w:val="002060"/>
          <w:sz w:val="16"/>
          <w:szCs w:val="16"/>
          <w:lang w:eastAsia="pl-PL"/>
        </w:rPr>
      </w:pPr>
      <w:r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>Attendees</w:t>
      </w:r>
      <w:r w:rsidR="00A54919"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 can achieve knowledge </w:t>
      </w:r>
      <w:r w:rsidR="00191461"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about differentials </w:t>
      </w:r>
      <w:r w:rsidR="00A54919"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of the innovation </w:t>
      </w:r>
      <w:r w:rsid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>ecosystems</w:t>
      </w:r>
      <w:r w:rsidR="00A54919"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 in </w:t>
      </w:r>
      <w:r w:rsidR="00191461"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>RIS</w:t>
      </w:r>
      <w:r w:rsidR="00A54919"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 countr</w:t>
      </w:r>
      <w:r w:rsidR="00191461"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>ies</w:t>
      </w:r>
      <w:r w:rsidR="00A54919"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, </w:t>
      </w:r>
      <w:r w:rsidR="00191461"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letting </w:t>
      </w:r>
      <w:r w:rsidR="00A54919"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increase the internationalization of </w:t>
      </w:r>
      <w:r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>their</w:t>
      </w:r>
      <w:r w:rsidR="009D5EEA"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 regional research infrastructures and science-industry cooperation.</w:t>
      </w:r>
    </w:p>
    <w:p w14:paraId="61954EA3" w14:textId="37F6A3E0" w:rsidR="00191461" w:rsidRPr="00D5087A" w:rsidRDefault="00191461" w:rsidP="00D5087A">
      <w:pPr>
        <w:pStyle w:val="Akapitzlist"/>
        <w:numPr>
          <w:ilvl w:val="1"/>
          <w:numId w:val="20"/>
        </w:numPr>
        <w:spacing w:after="0" w:line="276" w:lineRule="auto"/>
        <w:ind w:left="1080"/>
        <w:jc w:val="both"/>
        <w:rPr>
          <w:rFonts w:ascii="Titillium Web" w:eastAsia="Times New Roman" w:hAnsi="Titillium Web" w:cs="Times New Roman"/>
          <w:color w:val="002060"/>
          <w:sz w:val="16"/>
          <w:szCs w:val="16"/>
          <w:lang w:eastAsia="pl-PL"/>
        </w:rPr>
      </w:pPr>
      <w:r w:rsidRPr="00D5087A">
        <w:rPr>
          <w:rFonts w:ascii="Titillium Web" w:eastAsia="Calibri" w:hAnsi="Titillium Web" w:cs="Calibri"/>
          <w:color w:val="002060"/>
          <w:sz w:val="16"/>
          <w:szCs w:val="16"/>
        </w:rPr>
        <w:t>Participants will be able to understand the existing commercially relevant assets, skills, knowledge of research infrastructures and their market potential.</w:t>
      </w:r>
    </w:p>
    <w:p w14:paraId="5DB990D6" w14:textId="77777777" w:rsidR="00A54919" w:rsidRPr="00D5087A" w:rsidRDefault="00A54919" w:rsidP="00D5087A">
      <w:pPr>
        <w:pStyle w:val="Akapitzlist"/>
        <w:numPr>
          <w:ilvl w:val="0"/>
          <w:numId w:val="20"/>
        </w:numPr>
        <w:spacing w:after="0" w:line="276" w:lineRule="auto"/>
        <w:ind w:left="360"/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</w:pPr>
      <w:r w:rsidRPr="00D5087A">
        <w:rPr>
          <w:rFonts w:ascii="Titillium Web" w:eastAsia="Times New Roman" w:hAnsi="Titillium Web" w:cs="Times New Roman"/>
          <w:b/>
          <w:bCs/>
          <w:color w:val="70AD47" w:themeColor="accent6"/>
          <w:sz w:val="18"/>
          <w:szCs w:val="18"/>
          <w:lang w:eastAsia="pl-PL"/>
        </w:rPr>
        <w:t xml:space="preserve">How to </w:t>
      </w:r>
      <w:r w:rsidRPr="00D5087A">
        <w:rPr>
          <w:rFonts w:ascii="Titillium Web" w:eastAsia="Times New Roman" w:hAnsi="Titillium Web" w:cs="Times New Roman"/>
          <w:b/>
          <w:bCs/>
          <w:color w:val="002060"/>
          <w:sz w:val="18"/>
          <w:szCs w:val="18"/>
          <w:lang w:eastAsia="pl-PL"/>
        </w:rPr>
        <w:t>apply?</w:t>
      </w:r>
    </w:p>
    <w:p w14:paraId="6C154A27" w14:textId="537BC1AC" w:rsidR="00A54919" w:rsidRPr="00335D38" w:rsidRDefault="00335D38" w:rsidP="00335D38">
      <w:pPr>
        <w:pStyle w:val="Akapitzlist"/>
        <w:numPr>
          <w:ilvl w:val="1"/>
          <w:numId w:val="20"/>
        </w:numPr>
        <w:spacing w:after="0" w:line="276" w:lineRule="auto"/>
        <w:ind w:left="1080"/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</w:pPr>
      <w:r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To </w:t>
      </w:r>
      <w:r w:rsidRPr="00335D38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find details about </w:t>
      </w:r>
      <w:r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the </w:t>
      </w:r>
      <w:r w:rsidRPr="00335D38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>program</w:t>
      </w:r>
      <w:r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, </w:t>
      </w:r>
      <w:r w:rsidRPr="00335D38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>when the Academy is delivered</w:t>
      </w:r>
      <w:r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>, and how</w:t>
      </w:r>
      <w:r w:rsidRPr="00335D38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 </w:t>
      </w:r>
      <w:r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to </w:t>
      </w:r>
      <w:r w:rsidRPr="00335D38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>join</w:t>
      </w:r>
      <w:r w:rsidR="00A54919" w:rsidRPr="00335D38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, </w:t>
      </w:r>
      <w:r w:rsidR="00A54919" w:rsidRPr="00335D38">
        <w:rPr>
          <w:rFonts w:ascii="Titillium Web" w:hAnsi="Titillium Web" w:cstheme="minorHAnsi"/>
          <w:color w:val="002060"/>
          <w:sz w:val="16"/>
          <w:szCs w:val="16"/>
          <w:lang w:val="en-US"/>
        </w:rPr>
        <w:t xml:space="preserve">please check out </w:t>
      </w:r>
      <w:r w:rsidR="008F154A" w:rsidRPr="00335D38">
        <w:rPr>
          <w:rFonts w:ascii="Titillium Web" w:hAnsi="Titillium Web" w:cstheme="minorHAnsi"/>
          <w:color w:val="002060"/>
          <w:sz w:val="16"/>
          <w:szCs w:val="16"/>
          <w:lang w:val="en-US"/>
        </w:rPr>
        <w:t xml:space="preserve">how to apply on </w:t>
      </w:r>
      <w:r w:rsidR="00A54919" w:rsidRPr="00335D38">
        <w:rPr>
          <w:rFonts w:ascii="Titillium Web" w:hAnsi="Titillium Web" w:cstheme="minorHAnsi"/>
          <w:color w:val="002060"/>
          <w:sz w:val="16"/>
          <w:szCs w:val="16"/>
          <w:lang w:val="en-US"/>
        </w:rPr>
        <w:t>our website</w:t>
      </w:r>
      <w:r>
        <w:rPr>
          <w:rFonts w:ascii="Titillium Web" w:hAnsi="Titillium Web" w:cstheme="minorHAnsi"/>
          <w:color w:val="002060"/>
          <w:sz w:val="16"/>
          <w:szCs w:val="16"/>
          <w:lang w:val="en-US"/>
        </w:rPr>
        <w:t>:</w:t>
      </w:r>
      <w:r w:rsidR="00A54919" w:rsidRPr="00335D38">
        <w:rPr>
          <w:rFonts w:ascii="Titillium Web" w:hAnsi="Titillium Web" w:cstheme="minorHAnsi"/>
          <w:color w:val="002060"/>
          <w:sz w:val="16"/>
          <w:szCs w:val="16"/>
          <w:lang w:val="en-US"/>
        </w:rPr>
        <w:t xml:space="preserve"> </w:t>
      </w:r>
      <w:hyperlink r:id="rId7" w:history="1">
        <w:r w:rsidR="00191461" w:rsidRPr="00335D38">
          <w:rPr>
            <w:rStyle w:val="Hipercze"/>
            <w:rFonts w:ascii="Titillium Web" w:hAnsi="Titillium Web"/>
            <w:color w:val="002060"/>
            <w:sz w:val="18"/>
            <w:szCs w:val="21"/>
            <w:lang w:val="en-US"/>
          </w:rPr>
          <w:t>www.eitfood.eu/projects/infrabooster</w:t>
        </w:r>
      </w:hyperlink>
      <w:r w:rsidR="00FD53BE" w:rsidRPr="00335D38">
        <w:rPr>
          <w:rStyle w:val="Hipercze"/>
          <w:rFonts w:ascii="Titillium Web" w:hAnsi="Titillium Web"/>
          <w:color w:val="002060"/>
          <w:sz w:val="18"/>
          <w:szCs w:val="21"/>
          <w:lang w:val="en-US"/>
        </w:rPr>
        <w:t>/gea</w:t>
      </w:r>
      <w:r w:rsidR="00A54919" w:rsidRPr="00335D38">
        <w:rPr>
          <w:rFonts w:ascii="Titillium Web" w:hAnsi="Titillium Web" w:cstheme="minorHAnsi"/>
          <w:color w:val="002060"/>
          <w:sz w:val="16"/>
          <w:szCs w:val="16"/>
          <w:lang w:val="en-US"/>
        </w:rPr>
        <w:t>.</w:t>
      </w:r>
    </w:p>
    <w:p w14:paraId="7599D14C" w14:textId="772F14AA" w:rsidR="00D5087A" w:rsidRDefault="00D5087A" w:rsidP="00D5087A">
      <w:pPr>
        <w:spacing w:line="276" w:lineRule="auto"/>
        <w:jc w:val="both"/>
        <w:rPr>
          <w:rFonts w:ascii="Titillium Web" w:eastAsia="Times New Roman" w:hAnsi="Titillium Web" w:cs="Times New Roman"/>
          <w:color w:val="002060"/>
          <w:sz w:val="11"/>
          <w:szCs w:val="11"/>
          <w:lang w:eastAsia="pl-PL"/>
        </w:rPr>
      </w:pPr>
    </w:p>
    <w:p w14:paraId="695A3FFB" w14:textId="16CE6E83" w:rsidR="00FD53BE" w:rsidRPr="00126B39" w:rsidRDefault="00A54919" w:rsidP="00126B39">
      <w:pPr>
        <w:spacing w:line="276" w:lineRule="auto"/>
        <w:jc w:val="both"/>
        <w:rPr>
          <w:rFonts w:ascii="Titillium Web" w:hAnsi="Titillium Web" w:cstheme="minorHAnsi"/>
          <w:color w:val="002060"/>
          <w:sz w:val="16"/>
          <w:szCs w:val="16"/>
          <w:lang w:val="en-US"/>
        </w:rPr>
      </w:pPr>
      <w:r w:rsidRPr="00D5087A">
        <w:rPr>
          <w:rFonts w:ascii="Titillium Web" w:eastAsia="Times New Roman" w:hAnsi="Titillium Web" w:cs="Times New Roman"/>
          <w:color w:val="002060"/>
          <w:sz w:val="16"/>
          <w:szCs w:val="16"/>
          <w:lang w:eastAsia="pl-PL"/>
        </w:rPr>
        <w:t>Note:</w:t>
      </w:r>
      <w:r w:rsidR="00D5087A" w:rsidRPr="00D5087A">
        <w:rPr>
          <w:rFonts w:ascii="Titillium Web" w:eastAsia="Times New Roman" w:hAnsi="Titillium Web" w:cs="Times New Roman"/>
          <w:color w:val="002060"/>
          <w:sz w:val="16"/>
          <w:szCs w:val="16"/>
          <w:lang w:eastAsia="pl-PL"/>
        </w:rPr>
        <w:t xml:space="preserve"> </w:t>
      </w:r>
      <w:r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Academy is dedicated for </w:t>
      </w:r>
      <w:r w:rsidR="008F154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>applicants</w:t>
      </w:r>
      <w:r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 based in one of </w:t>
      </w:r>
      <w:r w:rsidR="006767E5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the </w:t>
      </w:r>
      <w:r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countries eligible to take part in </w:t>
      </w:r>
      <w:hyperlink r:id="rId8" w:history="1">
        <w:r w:rsidRPr="00D5087A">
          <w:rPr>
            <w:rStyle w:val="Hipercze"/>
            <w:rFonts w:ascii="Titillium Web" w:eastAsia="Times New Roman" w:hAnsi="Titillium Web" w:cstheme="minorHAnsi"/>
            <w:color w:val="002060"/>
            <w:sz w:val="16"/>
            <w:szCs w:val="16"/>
            <w:lang w:eastAsia="pl-PL"/>
          </w:rPr>
          <w:t>the EIT RIS</w:t>
        </w:r>
      </w:hyperlink>
      <w:r w:rsidRPr="00D5087A">
        <w:rPr>
          <w:rFonts w:ascii="Titillium Web" w:eastAsia="Times New Roman" w:hAnsi="Titillium Web" w:cstheme="minorHAnsi"/>
          <w:color w:val="002060"/>
          <w:sz w:val="16"/>
          <w:szCs w:val="16"/>
          <w:lang w:eastAsia="pl-PL"/>
        </w:rPr>
        <w:t xml:space="preserve">: </w:t>
      </w:r>
      <w:r w:rsidR="006767E5" w:rsidRPr="006767E5">
        <w:rPr>
          <w:rFonts w:ascii="Titillium Web" w:hAnsi="Titillium Web" w:cstheme="minorHAnsi"/>
          <w:color w:val="002060"/>
          <w:sz w:val="16"/>
          <w:szCs w:val="16"/>
          <w:lang w:val="en-US"/>
        </w:rPr>
        <w:t>Bulgaria, Croatia, Czechia, Cyprus, Estonia, Greece, Hungary, Italy, Latvia, Lithuania, Malta, Montenegro, North Macedonia, Poland, Portugal, Romania, Serbia, Slovenia, Slovakia, Spain, Türkiye, Ukraine</w:t>
      </w:r>
      <w:r w:rsidR="00D5087A" w:rsidRPr="00D5087A">
        <w:rPr>
          <w:rFonts w:ascii="Titillium Web" w:hAnsi="Titillium Web" w:cstheme="minorHAnsi"/>
          <w:color w:val="002060"/>
          <w:sz w:val="16"/>
          <w:szCs w:val="16"/>
          <w:lang w:val="en-US"/>
        </w:rPr>
        <w:t>.</w:t>
      </w:r>
      <w:r w:rsidR="00FD53BE">
        <w:rPr>
          <w:rFonts w:ascii="Titillium Web" w:eastAsia="Times New Roman" w:hAnsi="Titillium Web" w:cs="Times New Roman"/>
          <w:sz w:val="16"/>
          <w:szCs w:val="16"/>
          <w:lang w:eastAsia="pl-PL"/>
        </w:rPr>
        <w:tab/>
      </w:r>
    </w:p>
    <w:sectPr w:rsidR="00FD53BE" w:rsidRPr="00126B39" w:rsidSect="00C82F8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C765" w14:textId="77777777" w:rsidR="005F49FE" w:rsidRDefault="005F49FE" w:rsidP="007E26ED">
      <w:r>
        <w:separator/>
      </w:r>
    </w:p>
  </w:endnote>
  <w:endnote w:type="continuationSeparator" w:id="0">
    <w:p w14:paraId="74489443" w14:textId="77777777" w:rsidR="005F49FE" w:rsidRDefault="005F49FE" w:rsidP="007E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EFDB" w14:textId="395861D9" w:rsidR="007E26ED" w:rsidRPr="00335D38" w:rsidRDefault="00000000">
    <w:pPr>
      <w:pStyle w:val="Stopka"/>
      <w:rPr>
        <w:rFonts w:ascii="Titillium Web" w:hAnsi="Titillium Web"/>
        <w:color w:val="021F60"/>
        <w:sz w:val="10"/>
        <w:szCs w:val="10"/>
        <w:lang w:val="en-US"/>
      </w:rPr>
    </w:pPr>
    <w:hyperlink r:id="rId1" w:history="1">
      <w:r w:rsidR="008D3EE1" w:rsidRPr="00BD5147">
        <w:rPr>
          <w:rStyle w:val="Hipercze"/>
          <w:rFonts w:ascii="Titillium Web" w:hAnsi="Titillium Web"/>
          <w:lang w:val="en-US"/>
        </w:rPr>
        <w:t>www.eitfood.eu/projects/infrabooster</w:t>
      </w:r>
    </w:hyperlink>
    <w:r w:rsidR="00FD53BE">
      <w:rPr>
        <w:rStyle w:val="Hipercze"/>
        <w:rFonts w:ascii="Titillium Web" w:hAnsi="Titillium Web"/>
        <w:lang w:val="en-US"/>
      </w:rPr>
      <w:t>/gea</w:t>
    </w:r>
    <w:r w:rsidR="007E26ED" w:rsidRPr="00A47364">
      <w:rPr>
        <w:rFonts w:ascii="Titillium Web" w:hAnsi="Titillium Web"/>
        <w:color w:val="021F60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E7F6" w14:textId="77777777" w:rsidR="005F49FE" w:rsidRDefault="005F49FE" w:rsidP="007E26ED">
      <w:r>
        <w:separator/>
      </w:r>
    </w:p>
  </w:footnote>
  <w:footnote w:type="continuationSeparator" w:id="0">
    <w:p w14:paraId="39D462EF" w14:textId="77777777" w:rsidR="005F49FE" w:rsidRDefault="005F49FE" w:rsidP="007E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5A7A" w14:textId="00CE1EB7" w:rsidR="00A47364" w:rsidRPr="00A47364" w:rsidRDefault="00EE7293" w:rsidP="007E26ED">
    <w:pPr>
      <w:pStyle w:val="Nagwek"/>
      <w:tabs>
        <w:tab w:val="clear" w:pos="4536"/>
        <w:tab w:val="clear" w:pos="9072"/>
        <w:tab w:val="left" w:pos="3388"/>
      </w:tabs>
      <w:rPr>
        <w:sz w:val="13"/>
        <w:szCs w:val="13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39A53A8" wp14:editId="791B0304">
          <wp:simplePos x="0" y="0"/>
          <wp:positionH relativeFrom="margin">
            <wp:align>center</wp:align>
          </wp:positionH>
          <wp:positionV relativeFrom="margin">
            <wp:posOffset>-1245870</wp:posOffset>
          </wp:positionV>
          <wp:extent cx="4324794" cy="358110"/>
          <wp:effectExtent l="0" t="0" r="0" b="0"/>
          <wp:wrapNone/>
          <wp:docPr id="8280208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020867" name="Obraz 82802086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5527"/>
                  <a:stretch/>
                </pic:blipFill>
                <pic:spPr bwMode="auto">
                  <a:xfrm>
                    <a:off x="0" y="0"/>
                    <a:ext cx="4330582" cy="358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6ED">
      <w:tab/>
    </w:r>
    <w:r w:rsidR="00A47364">
      <w:br/>
    </w:r>
    <w:r w:rsidR="007E26ED" w:rsidRPr="007E26ED">
      <w:rPr>
        <w:noProof/>
      </w:rPr>
      <w:drawing>
        <wp:anchor distT="0" distB="0" distL="114300" distR="114300" simplePos="0" relativeHeight="251662336" behindDoc="1" locked="1" layoutInCell="1" allowOverlap="1" wp14:anchorId="6C775624" wp14:editId="3930968C">
          <wp:simplePos x="0" y="0"/>
          <wp:positionH relativeFrom="column">
            <wp:posOffset>-884555</wp:posOffset>
          </wp:positionH>
          <wp:positionV relativeFrom="page">
            <wp:posOffset>851535</wp:posOffset>
          </wp:positionV>
          <wp:extent cx="5918200" cy="8510905"/>
          <wp:effectExtent l="0" t="0" r="0" b="0"/>
          <wp:wrapNone/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id="{30CF3320-BF42-67EF-2690-93703FB1B3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30CF3320-BF42-67EF-2690-93703FB1B3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lum bright="70000" contrast="-70000"/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91" b="102"/>
                  <a:stretch/>
                </pic:blipFill>
                <pic:spPr bwMode="auto">
                  <a:xfrm>
                    <a:off x="0" y="0"/>
                    <a:ext cx="5918200" cy="8510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364">
      <w:br/>
    </w:r>
  </w:p>
  <w:p w14:paraId="5B05398C" w14:textId="74EA6CC3" w:rsidR="007E26ED" w:rsidRPr="008D3EE1" w:rsidRDefault="0024523C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</w:pPr>
    <w:r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  <w:t xml:space="preserve">EIT </w:t>
    </w:r>
    <w:r w:rsidR="007E26ED" w:rsidRPr="00A47364"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  <w:t>InfraBooster</w:t>
    </w:r>
    <w:r w:rsidR="008D3EE1"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  <w:t xml:space="preserve"> Government Executive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546"/>
    <w:multiLevelType w:val="hybridMultilevel"/>
    <w:tmpl w:val="5BF2B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FC3"/>
    <w:multiLevelType w:val="hybridMultilevel"/>
    <w:tmpl w:val="27DC8C2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24B0A8D"/>
    <w:multiLevelType w:val="hybridMultilevel"/>
    <w:tmpl w:val="F65EFB3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33A5E3E"/>
    <w:multiLevelType w:val="multilevel"/>
    <w:tmpl w:val="D0EA3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0EC9"/>
    <w:multiLevelType w:val="hybridMultilevel"/>
    <w:tmpl w:val="EC32E662"/>
    <w:lvl w:ilvl="0" w:tplc="B25283F4">
      <w:start w:val="1"/>
      <w:numFmt w:val="bullet"/>
      <w:lvlText w:val="•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CA4211"/>
    <w:multiLevelType w:val="hybridMultilevel"/>
    <w:tmpl w:val="93FE20A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0FD4A4B"/>
    <w:multiLevelType w:val="hybridMultilevel"/>
    <w:tmpl w:val="ECD8B5DE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 w15:restartNumberingAfterBreak="0">
    <w:nsid w:val="2D056751"/>
    <w:multiLevelType w:val="hybridMultilevel"/>
    <w:tmpl w:val="E938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0FA6"/>
    <w:multiLevelType w:val="hybridMultilevel"/>
    <w:tmpl w:val="90604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222E"/>
    <w:multiLevelType w:val="hybridMultilevel"/>
    <w:tmpl w:val="DC5E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E7BCE"/>
    <w:multiLevelType w:val="hybridMultilevel"/>
    <w:tmpl w:val="B0A43A42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39256F3A"/>
    <w:multiLevelType w:val="hybridMultilevel"/>
    <w:tmpl w:val="89BA3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95145F"/>
    <w:multiLevelType w:val="hybridMultilevel"/>
    <w:tmpl w:val="810E6E4E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3" w15:restartNumberingAfterBreak="0">
    <w:nsid w:val="5480040B"/>
    <w:multiLevelType w:val="hybridMultilevel"/>
    <w:tmpl w:val="62A2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A364B"/>
    <w:multiLevelType w:val="hybridMultilevel"/>
    <w:tmpl w:val="0DF00FE8"/>
    <w:lvl w:ilvl="0" w:tplc="0415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5A7875F3"/>
    <w:multiLevelType w:val="hybridMultilevel"/>
    <w:tmpl w:val="DAF0D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A3288"/>
    <w:multiLevelType w:val="hybridMultilevel"/>
    <w:tmpl w:val="6460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1387"/>
    <w:multiLevelType w:val="multilevel"/>
    <w:tmpl w:val="64601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B063A"/>
    <w:multiLevelType w:val="hybridMultilevel"/>
    <w:tmpl w:val="273CA142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9" w15:restartNumberingAfterBreak="0">
    <w:nsid w:val="638A68AC"/>
    <w:multiLevelType w:val="multilevel"/>
    <w:tmpl w:val="9FC0376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202745F"/>
    <w:multiLevelType w:val="hybridMultilevel"/>
    <w:tmpl w:val="41BC2BD0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1" w15:restartNumberingAfterBreak="0">
    <w:nsid w:val="7D742685"/>
    <w:multiLevelType w:val="hybridMultilevel"/>
    <w:tmpl w:val="F83CDA5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377125522">
    <w:abstractNumId w:val="11"/>
  </w:num>
  <w:num w:numId="2" w16cid:durableId="2008360086">
    <w:abstractNumId w:val="2"/>
  </w:num>
  <w:num w:numId="3" w16cid:durableId="1182358668">
    <w:abstractNumId w:val="5"/>
  </w:num>
  <w:num w:numId="4" w16cid:durableId="1101996886">
    <w:abstractNumId w:val="12"/>
  </w:num>
  <w:num w:numId="5" w16cid:durableId="1233080560">
    <w:abstractNumId w:val="18"/>
  </w:num>
  <w:num w:numId="6" w16cid:durableId="1495687796">
    <w:abstractNumId w:val="10"/>
  </w:num>
  <w:num w:numId="7" w16cid:durableId="1444687025">
    <w:abstractNumId w:val="1"/>
  </w:num>
  <w:num w:numId="8" w16cid:durableId="814493195">
    <w:abstractNumId w:val="6"/>
  </w:num>
  <w:num w:numId="9" w16cid:durableId="503782229">
    <w:abstractNumId w:val="20"/>
  </w:num>
  <w:num w:numId="10" w16cid:durableId="13194865">
    <w:abstractNumId w:val="0"/>
  </w:num>
  <w:num w:numId="11" w16cid:durableId="602344749">
    <w:abstractNumId w:val="9"/>
  </w:num>
  <w:num w:numId="12" w16cid:durableId="242954241">
    <w:abstractNumId w:val="19"/>
  </w:num>
  <w:num w:numId="13" w16cid:durableId="523329285">
    <w:abstractNumId w:val="21"/>
  </w:num>
  <w:num w:numId="14" w16cid:durableId="1686786712">
    <w:abstractNumId w:val="14"/>
  </w:num>
  <w:num w:numId="15" w16cid:durableId="402291539">
    <w:abstractNumId w:val="13"/>
  </w:num>
  <w:num w:numId="16" w16cid:durableId="1925341147">
    <w:abstractNumId w:val="15"/>
  </w:num>
  <w:num w:numId="17" w16cid:durableId="383649446">
    <w:abstractNumId w:val="8"/>
  </w:num>
  <w:num w:numId="18" w16cid:durableId="1937320635">
    <w:abstractNumId w:val="7"/>
  </w:num>
  <w:num w:numId="19" w16cid:durableId="1894463957">
    <w:abstractNumId w:val="4"/>
  </w:num>
  <w:num w:numId="20" w16cid:durableId="1708406933">
    <w:abstractNumId w:val="16"/>
  </w:num>
  <w:num w:numId="21" w16cid:durableId="1794471441">
    <w:abstractNumId w:val="3"/>
  </w:num>
  <w:num w:numId="22" w16cid:durableId="5192466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A6"/>
    <w:rsid w:val="0002522E"/>
    <w:rsid w:val="0011504F"/>
    <w:rsid w:val="00126B39"/>
    <w:rsid w:val="00191461"/>
    <w:rsid w:val="001F38A6"/>
    <w:rsid w:val="002002B2"/>
    <w:rsid w:val="002336B6"/>
    <w:rsid w:val="0024523C"/>
    <w:rsid w:val="00264888"/>
    <w:rsid w:val="002B31EE"/>
    <w:rsid w:val="002D12BE"/>
    <w:rsid w:val="002D3F5C"/>
    <w:rsid w:val="002F7D72"/>
    <w:rsid w:val="00326FE4"/>
    <w:rsid w:val="00335D38"/>
    <w:rsid w:val="00363F6B"/>
    <w:rsid w:val="00406776"/>
    <w:rsid w:val="00435B16"/>
    <w:rsid w:val="004A5342"/>
    <w:rsid w:val="0051102B"/>
    <w:rsid w:val="00580515"/>
    <w:rsid w:val="005964D9"/>
    <w:rsid w:val="005F49FE"/>
    <w:rsid w:val="006069B3"/>
    <w:rsid w:val="0063430F"/>
    <w:rsid w:val="006767E5"/>
    <w:rsid w:val="006C0419"/>
    <w:rsid w:val="00732335"/>
    <w:rsid w:val="007E26ED"/>
    <w:rsid w:val="00800B9C"/>
    <w:rsid w:val="008201F6"/>
    <w:rsid w:val="008A22C9"/>
    <w:rsid w:val="008D3EE1"/>
    <w:rsid w:val="008F154A"/>
    <w:rsid w:val="00917AC6"/>
    <w:rsid w:val="00992783"/>
    <w:rsid w:val="009A3648"/>
    <w:rsid w:val="009A3C2C"/>
    <w:rsid w:val="009D5EEA"/>
    <w:rsid w:val="00A47364"/>
    <w:rsid w:val="00A54919"/>
    <w:rsid w:val="00A81CA1"/>
    <w:rsid w:val="00AD7D77"/>
    <w:rsid w:val="00B04841"/>
    <w:rsid w:val="00B10465"/>
    <w:rsid w:val="00B32561"/>
    <w:rsid w:val="00B5702B"/>
    <w:rsid w:val="00BF76CB"/>
    <w:rsid w:val="00C05991"/>
    <w:rsid w:val="00C11ABD"/>
    <w:rsid w:val="00C82F86"/>
    <w:rsid w:val="00C83812"/>
    <w:rsid w:val="00D25C7D"/>
    <w:rsid w:val="00D5087A"/>
    <w:rsid w:val="00E30486"/>
    <w:rsid w:val="00E91C68"/>
    <w:rsid w:val="00EE41BC"/>
    <w:rsid w:val="00EE7293"/>
    <w:rsid w:val="00F76DDF"/>
    <w:rsid w:val="00FA5916"/>
    <w:rsid w:val="00FD53BE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0BE00"/>
  <w15:chartTrackingRefBased/>
  <w15:docId w15:val="{1FB0FD15-AEA1-B943-9952-AE19266F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Body Text (Primary)"/>
    <w:qFormat/>
    <w:rsid w:val="0002522E"/>
    <w:pPr>
      <w:spacing w:after="240" w:line="264" w:lineRule="auto"/>
    </w:pPr>
    <w:rPr>
      <w:rFonts w:ascii="Calibri Light" w:eastAsiaTheme="minorEastAsia" w:hAnsi="Calibri Light"/>
      <w:color w:val="000000" w:themeColor="text1"/>
      <w:sz w:val="20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E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E2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ED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7E26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6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4736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F38A6"/>
    <w:pPr>
      <w:ind w:left="720"/>
      <w:contextualSpacing/>
    </w:pPr>
  </w:style>
  <w:style w:type="table" w:styleId="Tabela-Siatka">
    <w:name w:val="Table Grid"/>
    <w:basedOn w:val="Standardowy"/>
    <w:uiPriority w:val="59"/>
    <w:rsid w:val="001F38A6"/>
    <w:rPr>
      <w:rFonts w:eastAsia="MS Minch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t.europa.eu/our-activities/eit-regional-innovation-sche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tfood.eu/projects/infraboo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tfood.eu/projects/infraboos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Piotr Nawrocki</cp:lastModifiedBy>
  <cp:revision>5</cp:revision>
  <cp:lastPrinted>2023-05-15T14:00:00Z</cp:lastPrinted>
  <dcterms:created xsi:type="dcterms:W3CDTF">2023-07-20T10:49:00Z</dcterms:created>
  <dcterms:modified xsi:type="dcterms:W3CDTF">2023-09-11T12:30:00Z</dcterms:modified>
</cp:coreProperties>
</file>